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napToGrid w:val="0"/>
        <w:textAlignment w:val="center"/>
        <w:rPr>
          <w:rFonts w:hint="eastAsia" w:ascii="黑体" w:hAnsi="黑体" w:eastAsia="宋体" w:cs="仿宋_GB2312"/>
          <w:b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widowControl w:val="0"/>
        <w:shd w:val="clear" w:color="auto" w:fill="FFFFFF"/>
        <w:snapToGrid w:val="0"/>
        <w:textAlignment w:val="center"/>
        <w:rPr>
          <w:rFonts w:hint="eastAsia" w:ascii="黑体" w:hAnsi="黑体" w:eastAsia="黑体" w:cs="仿宋_GB2312"/>
          <w:b w:val="0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抽查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融资担保公司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名单</w:t>
      </w:r>
    </w:p>
    <w:p>
      <w:pPr>
        <w:widowControl w:val="0"/>
        <w:shd w:val="clear" w:color="auto" w:fill="FFFFFF"/>
        <w:spacing w:line="600" w:lineRule="exact"/>
        <w:ind w:firstLine="0" w:firstLineChars="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FFFFFF"/>
        <w:spacing w:line="600" w:lineRule="exact"/>
        <w:ind w:firstLine="642" w:firstLineChars="200"/>
        <w:textAlignment w:val="center"/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eastAsia="zh-CN" w:bidi="ar"/>
        </w:rPr>
        <w:t>一、莆田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市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家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莆田市中小企业融资再担保有限公司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天眷（莆田）融资担保有限公司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3.莆田市涵江区中小企业融资担保有限公司</w:t>
      </w:r>
    </w:p>
    <w:p>
      <w:pPr>
        <w:widowControl w:val="0"/>
        <w:shd w:val="clear" w:color="auto" w:fill="FFFFFF"/>
        <w:spacing w:line="600" w:lineRule="exact"/>
        <w:ind w:firstLine="642" w:firstLineChars="200"/>
        <w:textAlignment w:val="center"/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eastAsia="zh-CN" w:bidi="ar"/>
        </w:rPr>
        <w:t>二、平潭综合实验区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家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1.中亿合信（福建）融资担保有限公司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1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2022-06-28T09:56:47Z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