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center"/>
        <w:rPr>
          <w:rFonts w:hint="eastAsia" w:ascii="黑体" w:hAnsi="黑体" w:eastAsia="黑体" w:cs="黑体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21"/>
          <w:sz w:val="32"/>
          <w:szCs w:val="32"/>
          <w:lang w:val="en-US" w:eastAsia="zh-CN"/>
        </w:rPr>
        <w:t>2</w:t>
      </w:r>
    </w:p>
    <w:p>
      <w:pPr>
        <w:spacing w:line="600" w:lineRule="exact"/>
        <w:textAlignment w:val="center"/>
        <w:rPr>
          <w:rFonts w:hint="eastAsia" w:ascii="黑体" w:hAnsi="黑体" w:eastAsia="黑体" w:cs="黑体"/>
          <w:kern w:val="21"/>
          <w:sz w:val="32"/>
          <w:szCs w:val="32"/>
          <w:lang w:val="en-US" w:eastAsia="zh-CN"/>
        </w:rPr>
      </w:pPr>
    </w:p>
    <w:p>
      <w:pPr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/>
        </w:rPr>
        <w:t>2022年度福建金融创新典型案例项目</w:t>
      </w: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</w:rPr>
        <w:t>名单</w:t>
      </w:r>
    </w:p>
    <w:p>
      <w:pPr>
        <w:spacing w:line="600" w:lineRule="exact"/>
        <w:ind w:firstLine="0" w:firstLineChars="0"/>
        <w:textAlignment w:val="center"/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</w:pP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晋江市长期护理保险委托经办服务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太平洋人寿保险福建分公司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“厦门跨境保”跨境电商全流程服务支持方案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出口信保厦门分公司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社区养老服务场景建设项目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海峡银行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福建省房屋安全保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险监测试点项目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人民财产保险福建省分公司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交通银行市民信用惠民就医服务平台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交通银行厦门分行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林权在线调查抵押管理系统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省农信联社三明办事处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区块链电子存证系统项目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兴业消费金融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押品评估管理系统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农业银行福建省分行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打造鞋服行业绿色供应链生态圈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邮储银行莆田市分行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2" w:firstLineChars="200"/>
        <w:textAlignment w:val="center"/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1"/>
          <w:sz w:val="32"/>
          <w:szCs w:val="32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3705860</wp:posOffset>
            </wp:positionH>
            <wp:positionV relativeFrom="margin">
              <wp:posOffset>8428355</wp:posOffset>
            </wp:positionV>
            <wp:extent cx="1841500" cy="457200"/>
            <wp:effectExtent l="0" t="0" r="6350" b="0"/>
            <wp:wrapNone/>
            <wp:docPr id="1" name="图片 2" descr="http://10.110.8.12:8081/lw-zwbg-cloud//core/upload/2023/06/15/20230615090759075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ttp://10.110.8.12:8081/lw-zwbg-cloud//core/upload/2023/06/15/20230615090759075.bmp"/>
                    <pic:cNvPicPr/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“一核双翼五驱”普惠金融司法协同机制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宁</w: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3317875</wp:posOffset>
                </wp:positionH>
                <wp:positionV relativeFrom="page">
                  <wp:posOffset>9240520</wp:posOffset>
                </wp:positionV>
                <wp:extent cx="2333625" cy="360045"/>
                <wp:effectExtent l="0" t="0" r="0" b="0"/>
                <wp:wrapNone/>
                <wp:docPr id="2" name="SignDate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/>
                              <w:ind w:right="310" w:rightChars="100"/>
                              <w:jc w:val="right"/>
                              <w:textAlignment w:val="center"/>
                              <w:rPr>
                                <w:rFonts w:hint="eastAsia" w:ascii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sz w:val="28"/>
                                <w:szCs w:val="28"/>
                                <w:lang w:eastAsia="zh-CN"/>
                              </w:rPr>
                              <w:t>2023年6月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8"/>
                                <w:szCs w:val="28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8"/>
                                <w:szCs w:val="28"/>
                              </w:rPr>
                              <w:t xml:space="preserve">印发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ignDateText" o:spid="_x0000_s1026" o:spt="202" type="#_x0000_t202" style="position:absolute;left:0pt;margin-left:261.25pt;margin-top:727.6pt;height:28.35pt;width:183.75pt;mso-position-vertical-relative:page;z-index:251670528;mso-width-relative:page;mso-height-relative:page;" filled="f" stroked="f" coordsize="21600,21600" o:gfxdata="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39whl2gAAAA0BAAAPAAAAAAAAAAEAIAAA&#10;ACIAAABkcnMvZG93bnJldi54bWxQSwECFAAUAAAACACHTuJAyEa515gBAAAuAwAADgAAAAAAAAAB&#10;ACAAAAApAQAAZHJzL2Uyb0RvYy54bWxQSwUGAAAAAAYABgBZAQAAM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/>
                        <w:ind w:right="310" w:rightChars="100"/>
                        <w:jc w:val="right"/>
                        <w:textAlignment w:val="center"/>
                        <w:rPr>
                          <w:rFonts w:hint="eastAsia" w:ascii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sz w:val="28"/>
                          <w:szCs w:val="28"/>
                          <w:lang w:eastAsia="zh-CN"/>
                        </w:rPr>
                        <w:t>2023年6月</w:t>
                      </w:r>
                      <w:r>
                        <w:rPr>
                          <w:rFonts w:hint="eastAsia" w:ascii="仿宋_GB2312" w:hAnsi="仿宋_GB2312" w:cs="仿宋_GB2312"/>
                          <w:sz w:val="28"/>
                          <w:szCs w:val="28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 w:ascii="仿宋_GB2312" w:hAnsi="仿宋_GB2312" w:cs="仿宋_GB2312"/>
                          <w:sz w:val="28"/>
                          <w:szCs w:val="28"/>
                          <w:lang w:eastAsia="zh-CN"/>
                        </w:rPr>
                        <w:t>日</w:t>
                      </w:r>
                      <w:r>
                        <w:rPr>
                          <w:rFonts w:hint="eastAsia" w:ascii="仿宋_GB2312" w:hAnsi="仿宋_GB2312" w:cs="仿宋_GB2312"/>
                          <w:sz w:val="28"/>
                          <w:szCs w:val="28"/>
                        </w:rPr>
                        <w:t xml:space="preserve">印发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德市蕉城区人民法院</w:t>
      </w:r>
      <w:r>
        <w:rPr>
          <w:rFonts w:hint="eastAsia" w:ascii="仿宋_GB2312" w:hAnsi="仿宋_GB2312" w:cs="仿宋_GB2312"/>
          <w:kern w:val="21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9237345</wp:posOffset>
                </wp:positionV>
                <wp:extent cx="3000375" cy="360045"/>
                <wp:effectExtent l="0" t="0" r="0" b="0"/>
                <wp:wrapNone/>
                <wp:docPr id="3" name="SignUni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ind w:left="310" w:leftChars="100"/>
                              <w:textAlignment w:val="center"/>
                              <w:rPr>
                                <w:rFonts w:hint="eastAsia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hAnsi="仿宋_GB2312" w:cs="仿宋_GB2312"/>
                                <w:sz w:val="28"/>
                                <w:szCs w:val="28"/>
                              </w:rPr>
                              <w:t>福建省金融工作办公室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ignUnitText" o:spid="_x0000_s1026" o:spt="202" type="#_x0000_t202" style="position:absolute;left:0pt;margin-left:0pt;margin-top:727.35pt;height:28.35pt;width:236.25pt;mso-position-vertical-relative:page;z-index:251669504;mso-width-relative:page;mso-height-relative:page;" filled="f" stroked="f" coordsize="21600,21600" o:gfxdata="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ydztBdkAAAAKAQAADwAAAAAAAAABACAA&#10;AAAiAAAAZHJzL2Rvd25yZXYueG1sUEsBAhQAFAAAAAgAh07iQL2mUJqaAQAALgMAAA4AAAAAAAAA&#10;AQAgAAAAKAEAAGRycy9lMm9Eb2MueG1sUEsFBgAAAAAGAAYAWQEAADQ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3"/>
                        <w:ind w:left="310" w:leftChars="100"/>
                        <w:textAlignment w:val="center"/>
                        <w:rPr>
                          <w:rFonts w:hint="eastAsia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hAnsi="仿宋_GB2312" w:cs="仿宋_GB2312"/>
                          <w:sz w:val="28"/>
                          <w:szCs w:val="28"/>
                        </w:rPr>
                        <w:t>福建省金融工作办公室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9240520</wp:posOffset>
                </wp:positionV>
                <wp:extent cx="5615940" cy="0"/>
                <wp:effectExtent l="0" t="0" r="0" b="0"/>
                <wp:wrapTopAndBottom/>
                <wp:docPr id="4" name="CopySend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CopySendLine" o:spid="_x0000_s1026" o:spt="20" style="position:absolute;left:0pt;margin-top:727.6pt;height:0pt;width:442.2pt;mso-position-horizontal:center;mso-position-horizontal-relative:margin;mso-position-vertical-relative:page;mso-wrap-distance-bottom:0pt;mso-wrap-distance-top:0pt;z-index:251668480;mso-width-relative:page;mso-height-relative:page;" filled="f" coordsize="21600,21600" o:gfxdata="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YSC5o1QAAAAoBAAAPAAAAAAAAAAEAIAAAACIAAABkcnMvZG93bnJldi54&#10;bWxQSwECFAAUAAAACACHTuJAM+hTtsQBAACRAwAADgAAAAAAAAABACAAAAAkAQAAZHJzL2Uyb0Rv&#10;Yy54bWxQSwUGAAAAAAYABgBZAQAAWgUAAAAA&#10;">
                <v:path arrowok="t"/>
                <v:fill on="f" focussize="0,0"/>
                <v:stroke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 w:hAnsi="仿宋_GB2312" w:cs="仿宋_GB2312"/>
          <w:kern w:val="21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9602470</wp:posOffset>
                </wp:positionV>
                <wp:extent cx="5615940" cy="0"/>
                <wp:effectExtent l="0" t="0" r="0" b="0"/>
                <wp:wrapTopAndBottom/>
                <wp:docPr id="5" name="SignUD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ignUDLine" o:spid="_x0000_s1026" o:spt="20" style="position:absolute;left:0pt;margin-top:756.1pt;height:0pt;width:442.2pt;mso-position-horizontal:center;mso-position-horizontal-relative:margin;mso-position-vertical-relative:page;mso-wrap-distance-bottom:0pt;mso-wrap-distance-top:0pt;z-index:251667456;mso-width-relative:page;mso-height-relative:page;" filled="f" coordsize="21600,21600" o:gfxdata="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B7wwl1gAAAAoBAAAPAAAAAAAAAAEAIAAAACIAAABkcnMvZG93bnJldi54&#10;bWxQSwECFAAUAAAACACHTuJAJk5SgMMBAACQAwAADgAAAAAAAAABACAAAAAlAQAAZHJzL2Uyb0Rv&#10;Yy54bWxQSwUGAAAAAAYABgBZAQAAWgUAAAAA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587" w:bottom="1587" w:left="1588" w:header="851" w:footer="1191" w:gutter="0"/>
      <w:cols w:space="720" w:num="1"/>
      <w:docGrid w:type="linesAndChars" w:linePitch="596" w:charSpace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0" w:leftChars="100" w:right="310" w:rightChars="100"/>
      <w:jc w:val="center"/>
      <w:rPr>
        <w:rStyle w:val="6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—</w:t>
    </w:r>
  </w:p>
  <w:p>
    <w:pPr>
      <w:pStyle w:val="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0" w:leftChars="100" w:right="310" w:rightChars="100"/>
      <w:jc w:val="center"/>
      <w:rPr>
        <w:rStyle w:val="6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—</w:t>
    </w:r>
  </w:p>
  <w:p>
    <w:pPr>
      <w:pStyle w:val="4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389" w:y="-2"/>
      <w:jc w:val="right"/>
      <w:rPr>
        <w:rStyle w:val="6"/>
        <w:rFonts w:hint="eastAsia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hint="eastAsia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20E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  <w:style w:type="paragraph" w:styleId="3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http://10.110.8.12:8081/lw-zwbg-cloud//core/upload/2023/06/15/20230615090759075.bmp" TargetMode="Externa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2023-06-16T03:39:43Z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