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center"/>
        <w:rPr>
          <w:rFonts w:ascii="黑体" w:hAnsi="黑体" w:eastAsia="黑体" w:cs="Times New Roman"/>
          <w:sz w:val="32"/>
          <w:szCs w:val="32"/>
        </w:rPr>
      </w:pPr>
      <w:r>
        <w:rPr>
          <w:rFonts w:hint="eastAsia" w:ascii="黑体" w:hAnsi="黑体" w:eastAsia="黑体" w:cs="Times New Roman"/>
          <w:sz w:val="32"/>
          <w:szCs w:val="32"/>
        </w:rPr>
        <w:t>附件2</w:t>
      </w:r>
    </w:p>
    <w:p>
      <w:pPr>
        <w:spacing w:after="156" w:afterLines="50" w:line="600" w:lineRule="exact"/>
        <w:jc w:val="center"/>
        <w:textAlignment w:val="center"/>
        <w:rPr>
          <w:rFonts w:hint="eastAsia" w:ascii="方正小标宋简体" w:hAnsi="黑体" w:eastAsia="方正小标宋简体" w:cs="Times New Roman"/>
          <w:sz w:val="36"/>
          <w:szCs w:val="36"/>
        </w:rPr>
      </w:pPr>
    </w:p>
    <w:p>
      <w:pPr>
        <w:spacing w:after="156" w:afterLines="50" w:line="600" w:lineRule="exact"/>
        <w:jc w:val="center"/>
        <w:textAlignment w:val="center"/>
        <w:rPr>
          <w:rFonts w:ascii="方正小标宋简体" w:hAnsi="黑体" w:eastAsia="方正小标宋简体" w:cs="Times New Roman"/>
          <w:sz w:val="36"/>
          <w:szCs w:val="36"/>
        </w:rPr>
      </w:pPr>
      <w:r>
        <w:rPr>
          <w:rFonts w:hint="eastAsia" w:ascii="方正小标宋简体" w:hAnsi="黑体" w:eastAsia="方正小标宋简体" w:cs="Times New Roman"/>
          <w:sz w:val="36"/>
          <w:szCs w:val="36"/>
        </w:rPr>
        <w:t>金融机构服务非金融企业债券融资评价自评表</w:t>
      </w:r>
    </w:p>
    <w:tbl>
      <w:tblPr>
        <w:tblStyle w:val="3"/>
        <w:tblW w:w="9483" w:type="dxa"/>
        <w:jc w:val="center"/>
        <w:tblInd w:w="0" w:type="dxa"/>
        <w:tblLayout w:type="fixed"/>
        <w:tblCellMar>
          <w:top w:w="0" w:type="dxa"/>
          <w:left w:w="108" w:type="dxa"/>
          <w:bottom w:w="0" w:type="dxa"/>
          <w:right w:w="108" w:type="dxa"/>
        </w:tblCellMar>
      </w:tblPr>
      <w:tblGrid>
        <w:gridCol w:w="498"/>
        <w:gridCol w:w="1800"/>
        <w:gridCol w:w="4077"/>
        <w:gridCol w:w="1705"/>
        <w:gridCol w:w="1403"/>
      </w:tblGrid>
      <w:tr>
        <w:tblPrEx>
          <w:tblLayout w:type="fixed"/>
          <w:tblCellMar>
            <w:top w:w="0" w:type="dxa"/>
            <w:left w:w="108" w:type="dxa"/>
            <w:bottom w:w="0" w:type="dxa"/>
            <w:right w:w="108" w:type="dxa"/>
          </w:tblCellMar>
        </w:tblPrEx>
        <w:trPr>
          <w:trHeight w:val="236"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Calibri" w:eastAsia="宋体" w:cs="宋体"/>
                <w:b/>
                <w:color w:val="000000"/>
                <w:kern w:val="0"/>
                <w:sz w:val="24"/>
              </w:rPr>
            </w:pPr>
            <w:r>
              <w:rPr>
                <w:rFonts w:hint="eastAsia" w:ascii="宋体" w:hAnsi="宋体" w:eastAsia="宋体" w:cs="宋体"/>
                <w:b/>
                <w:color w:val="000000"/>
                <w:kern w:val="0"/>
                <w:sz w:val="24"/>
              </w:rPr>
              <w:t>序号</w:t>
            </w:r>
          </w:p>
        </w:tc>
        <w:tc>
          <w:tcPr>
            <w:tcW w:w="180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b/>
                <w:color w:val="000000"/>
                <w:kern w:val="0"/>
                <w:sz w:val="24"/>
              </w:rPr>
            </w:pPr>
            <w:r>
              <w:rPr>
                <w:rFonts w:hint="eastAsia" w:ascii="宋体" w:hAnsi="宋体" w:eastAsia="宋体" w:cs="宋体"/>
                <w:b/>
                <w:color w:val="000000"/>
                <w:kern w:val="0"/>
                <w:sz w:val="24"/>
              </w:rPr>
              <w:t>评价指标</w:t>
            </w:r>
          </w:p>
        </w:tc>
        <w:tc>
          <w:tcPr>
            <w:tcW w:w="407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b/>
                <w:color w:val="000000"/>
                <w:kern w:val="0"/>
                <w:sz w:val="24"/>
              </w:rPr>
            </w:pPr>
            <w:r>
              <w:rPr>
                <w:rFonts w:hint="eastAsia" w:ascii="宋体" w:hAnsi="宋体" w:eastAsia="宋体" w:cs="宋体"/>
                <w:b/>
                <w:color w:val="000000"/>
                <w:kern w:val="0"/>
                <w:sz w:val="24"/>
              </w:rPr>
              <w:t>考评标准</w:t>
            </w:r>
          </w:p>
        </w:tc>
        <w:tc>
          <w:tcPr>
            <w:tcW w:w="17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b/>
                <w:color w:val="000000"/>
                <w:kern w:val="0"/>
                <w:sz w:val="24"/>
              </w:rPr>
            </w:pPr>
            <w:r>
              <w:rPr>
                <w:rFonts w:hint="eastAsia" w:ascii="宋体" w:hAnsi="宋体" w:eastAsia="宋体" w:cs="宋体"/>
                <w:b/>
                <w:kern w:val="0"/>
                <w:sz w:val="24"/>
              </w:rPr>
              <w:t>自评情况</w:t>
            </w:r>
            <w:r>
              <w:rPr>
                <w:rFonts w:hint="eastAsia" w:ascii="宋体" w:hAnsi="宋体" w:eastAsia="宋体" w:cs="宋体"/>
                <w:b/>
                <w:kern w:val="0"/>
                <w:sz w:val="24"/>
                <w:lang w:eastAsia="zh-CN"/>
              </w:rPr>
              <w:t>（金额、数量等）</w:t>
            </w:r>
          </w:p>
        </w:tc>
        <w:tc>
          <w:tcPr>
            <w:tcW w:w="140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b/>
                <w:color w:val="000000"/>
                <w:kern w:val="0"/>
                <w:sz w:val="24"/>
              </w:rPr>
            </w:pPr>
            <w:r>
              <w:rPr>
                <w:rFonts w:hint="eastAsia" w:ascii="宋体" w:hAnsi="宋体" w:eastAsia="宋体" w:cs="宋体"/>
                <w:b/>
                <w:kern w:val="0"/>
                <w:sz w:val="24"/>
              </w:rPr>
              <w:t>佐证材料目录</w:t>
            </w:r>
          </w:p>
        </w:tc>
      </w:tr>
      <w:tr>
        <w:tblPrEx>
          <w:tblLayout w:type="fixed"/>
          <w:tblCellMar>
            <w:top w:w="0" w:type="dxa"/>
            <w:left w:w="108" w:type="dxa"/>
            <w:bottom w:w="0" w:type="dxa"/>
            <w:right w:w="108" w:type="dxa"/>
          </w:tblCellMar>
        </w:tblPrEx>
        <w:trPr>
          <w:trHeight w:val="236" w:hRule="atLeast"/>
          <w:jc w:val="center"/>
        </w:trPr>
        <w:tc>
          <w:tcPr>
            <w:tcW w:w="498" w:type="dxa"/>
            <w:tcBorders>
              <w:top w:val="nil"/>
              <w:left w:val="single" w:color="auto" w:sz="4" w:space="0"/>
              <w:bottom w:val="single" w:color="auto" w:sz="4" w:space="0"/>
              <w:right w:val="single" w:color="auto" w:sz="4" w:space="0"/>
            </w:tcBorders>
            <w:vAlign w:val="center"/>
          </w:tcPr>
          <w:p>
            <w:pPr>
              <w:widowControl/>
              <w:spacing w:line="390" w:lineRule="exact"/>
              <w:jc w:val="center"/>
              <w:rPr>
                <w:rFonts w:ascii="宋体" w:hAnsi="Calibri" w:eastAsia="宋体" w:cs="宋体"/>
                <w:color w:val="000000"/>
                <w:kern w:val="0"/>
                <w:sz w:val="24"/>
              </w:rPr>
            </w:pPr>
            <w:r>
              <w:rPr>
                <w:rFonts w:ascii="宋体" w:hAnsi="宋体" w:eastAsia="宋体" w:cs="宋体"/>
                <w:color w:val="000000"/>
                <w:kern w:val="0"/>
                <w:sz w:val="24"/>
              </w:rPr>
              <w:t>1</w:t>
            </w:r>
          </w:p>
        </w:tc>
        <w:tc>
          <w:tcPr>
            <w:tcW w:w="1800" w:type="dxa"/>
            <w:tcBorders>
              <w:top w:val="nil"/>
              <w:left w:val="nil"/>
              <w:bottom w:val="single" w:color="auto" w:sz="4" w:space="0"/>
              <w:right w:val="single" w:color="auto" w:sz="4" w:space="0"/>
            </w:tcBorders>
            <w:vAlign w:val="center"/>
          </w:tcPr>
          <w:p>
            <w:pPr>
              <w:widowControl/>
              <w:spacing w:line="390" w:lineRule="exact"/>
              <w:jc w:val="left"/>
              <w:rPr>
                <w:rFonts w:ascii="宋体" w:hAnsi="Calibri" w:eastAsia="宋体" w:cs="宋体"/>
                <w:color w:val="000000"/>
                <w:kern w:val="0"/>
                <w:sz w:val="24"/>
              </w:rPr>
            </w:pPr>
            <w:r>
              <w:rPr>
                <w:rFonts w:hint="eastAsia" w:ascii="宋体" w:hAnsi="宋体" w:eastAsia="宋体" w:cs="宋体"/>
                <w:color w:val="000000"/>
                <w:sz w:val="24"/>
              </w:rPr>
              <w:t>当年新增承销非金融企业债券金额</w:t>
            </w:r>
          </w:p>
        </w:tc>
        <w:tc>
          <w:tcPr>
            <w:tcW w:w="4077" w:type="dxa"/>
            <w:tcBorders>
              <w:top w:val="nil"/>
              <w:left w:val="nil"/>
              <w:bottom w:val="single" w:color="auto" w:sz="4" w:space="0"/>
              <w:right w:val="single" w:color="auto" w:sz="4" w:space="0"/>
            </w:tcBorders>
            <w:vAlign w:val="center"/>
          </w:tcPr>
          <w:p>
            <w:pPr>
              <w:widowControl/>
              <w:spacing w:line="390" w:lineRule="exact"/>
              <w:jc w:val="left"/>
              <w:rPr>
                <w:rFonts w:ascii="宋体" w:hAnsi="Calibri" w:eastAsia="宋体" w:cs="宋体"/>
                <w:color w:val="000000"/>
                <w:kern w:val="0"/>
                <w:sz w:val="24"/>
              </w:rPr>
            </w:pPr>
            <w:r>
              <w:rPr>
                <w:rFonts w:hint="eastAsia" w:ascii="宋体" w:hAnsi="宋体" w:eastAsia="宋体" w:cs="宋体"/>
                <w:color w:val="000000"/>
                <w:kern w:val="0"/>
                <w:sz w:val="24"/>
              </w:rPr>
              <w:t>当年度参评机构参与承销我省非金融企业在银行间市场与沪深交易所发行的债券金额按从高到低顺序排名。第一名得</w:t>
            </w:r>
            <w:r>
              <w:rPr>
                <w:rFonts w:ascii="宋体" w:hAnsi="宋体" w:eastAsia="宋体" w:cs="宋体"/>
                <w:color w:val="000000"/>
                <w:kern w:val="0"/>
                <w:sz w:val="24"/>
              </w:rPr>
              <w:t>40</w:t>
            </w:r>
            <w:r>
              <w:rPr>
                <w:rFonts w:hint="eastAsia" w:ascii="宋体" w:hAnsi="宋体" w:eastAsia="宋体" w:cs="宋体"/>
                <w:color w:val="000000"/>
                <w:kern w:val="0"/>
                <w:sz w:val="24"/>
              </w:rPr>
              <w:t>分，第二名得</w:t>
            </w:r>
            <w:r>
              <w:rPr>
                <w:rFonts w:ascii="宋体" w:hAnsi="宋体" w:eastAsia="宋体" w:cs="宋体"/>
                <w:color w:val="000000"/>
                <w:kern w:val="0"/>
                <w:sz w:val="24"/>
              </w:rPr>
              <w:t>38</w:t>
            </w:r>
            <w:r>
              <w:rPr>
                <w:rFonts w:hint="eastAsia" w:ascii="宋体" w:hAnsi="宋体" w:eastAsia="宋体" w:cs="宋体"/>
                <w:color w:val="000000"/>
                <w:kern w:val="0"/>
                <w:sz w:val="24"/>
              </w:rPr>
              <w:t>分，每降一名减</w:t>
            </w:r>
            <w:r>
              <w:rPr>
                <w:rFonts w:ascii="宋体" w:hAnsi="宋体" w:eastAsia="宋体" w:cs="宋体"/>
                <w:color w:val="000000"/>
                <w:kern w:val="0"/>
                <w:sz w:val="24"/>
              </w:rPr>
              <w:t>2</w:t>
            </w:r>
            <w:r>
              <w:rPr>
                <w:rFonts w:hint="eastAsia" w:ascii="宋体" w:hAnsi="宋体" w:eastAsia="宋体" w:cs="宋体"/>
                <w:color w:val="000000"/>
                <w:kern w:val="0"/>
                <w:sz w:val="24"/>
              </w:rPr>
              <w:t>分，以此类推，第二十名之后不得分。</w:t>
            </w:r>
          </w:p>
        </w:tc>
        <w:tc>
          <w:tcPr>
            <w:tcW w:w="1705" w:type="dxa"/>
            <w:tcBorders>
              <w:top w:val="nil"/>
              <w:left w:val="nil"/>
              <w:bottom w:val="single" w:color="auto" w:sz="4" w:space="0"/>
              <w:right w:val="single" w:color="auto" w:sz="4" w:space="0"/>
            </w:tcBorders>
            <w:vAlign w:val="center"/>
          </w:tcPr>
          <w:p>
            <w:pPr>
              <w:widowControl/>
              <w:spacing w:line="390" w:lineRule="exact"/>
              <w:jc w:val="left"/>
              <w:rPr>
                <w:rFonts w:ascii="宋体" w:hAnsi="Calibri" w:eastAsia="宋体" w:cs="宋体"/>
                <w:color w:val="000000"/>
                <w:kern w:val="0"/>
                <w:sz w:val="24"/>
              </w:rPr>
            </w:pPr>
          </w:p>
        </w:tc>
        <w:tc>
          <w:tcPr>
            <w:tcW w:w="1403" w:type="dxa"/>
            <w:tcBorders>
              <w:top w:val="nil"/>
              <w:left w:val="nil"/>
              <w:bottom w:val="single" w:color="auto" w:sz="4" w:space="0"/>
              <w:right w:val="single" w:color="auto" w:sz="4" w:space="0"/>
            </w:tcBorders>
            <w:vAlign w:val="center"/>
          </w:tcPr>
          <w:p>
            <w:pPr>
              <w:widowControl/>
              <w:spacing w:line="400" w:lineRule="exact"/>
              <w:jc w:val="center"/>
              <w:rPr>
                <w:rFonts w:ascii="宋体" w:hAnsi="Calibri" w:eastAsia="宋体" w:cs="宋体"/>
                <w:color w:val="000000"/>
                <w:kern w:val="0"/>
                <w:sz w:val="24"/>
              </w:rPr>
            </w:pPr>
          </w:p>
        </w:tc>
      </w:tr>
      <w:tr>
        <w:tblPrEx>
          <w:tblLayout w:type="fixed"/>
          <w:tblCellMar>
            <w:top w:w="0" w:type="dxa"/>
            <w:left w:w="108" w:type="dxa"/>
            <w:bottom w:w="0" w:type="dxa"/>
            <w:right w:w="108" w:type="dxa"/>
          </w:tblCellMar>
        </w:tblPrEx>
        <w:trPr>
          <w:trHeight w:val="236"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spacing w:line="390" w:lineRule="exact"/>
              <w:jc w:val="center"/>
              <w:rPr>
                <w:rFonts w:ascii="宋体" w:hAnsi="Calibri" w:eastAsia="宋体" w:cs="宋体"/>
                <w:color w:val="000000"/>
                <w:kern w:val="0"/>
                <w:sz w:val="24"/>
              </w:rPr>
            </w:pPr>
            <w:r>
              <w:rPr>
                <w:rFonts w:ascii="宋体" w:hAnsi="宋体" w:eastAsia="宋体" w:cs="宋体"/>
                <w:color w:val="000000"/>
                <w:kern w:val="0"/>
                <w:sz w:val="24"/>
              </w:rPr>
              <w:t>2</w:t>
            </w:r>
          </w:p>
        </w:tc>
        <w:tc>
          <w:tcPr>
            <w:tcW w:w="1800" w:type="dxa"/>
            <w:tcBorders>
              <w:top w:val="single" w:color="auto" w:sz="4" w:space="0"/>
              <w:left w:val="nil"/>
              <w:bottom w:val="single" w:color="auto" w:sz="4" w:space="0"/>
              <w:right w:val="single" w:color="auto" w:sz="4" w:space="0"/>
            </w:tcBorders>
            <w:vAlign w:val="center"/>
          </w:tcPr>
          <w:p>
            <w:pPr>
              <w:widowControl/>
              <w:spacing w:line="390" w:lineRule="exact"/>
              <w:jc w:val="left"/>
              <w:rPr>
                <w:rFonts w:ascii="宋体" w:hAnsi="Calibri" w:eastAsia="宋体" w:cs="宋体"/>
                <w:color w:val="000000"/>
                <w:sz w:val="24"/>
              </w:rPr>
            </w:pPr>
            <w:r>
              <w:rPr>
                <w:rFonts w:hint="eastAsia" w:ascii="宋体" w:hAnsi="宋体" w:eastAsia="宋体" w:cs="宋体"/>
                <w:color w:val="000000"/>
                <w:sz w:val="24"/>
              </w:rPr>
              <w:t>当年服务发债的非金融企业数量</w:t>
            </w:r>
          </w:p>
        </w:tc>
        <w:tc>
          <w:tcPr>
            <w:tcW w:w="4077" w:type="dxa"/>
            <w:tcBorders>
              <w:top w:val="single" w:color="auto" w:sz="4" w:space="0"/>
              <w:left w:val="nil"/>
              <w:bottom w:val="single" w:color="auto" w:sz="4" w:space="0"/>
              <w:right w:val="single" w:color="auto" w:sz="4" w:space="0"/>
            </w:tcBorders>
            <w:vAlign w:val="center"/>
          </w:tcPr>
          <w:p>
            <w:pPr>
              <w:widowControl/>
              <w:spacing w:line="390" w:lineRule="exact"/>
              <w:ind w:left="34"/>
              <w:jc w:val="left"/>
              <w:rPr>
                <w:rFonts w:ascii="宋体" w:hAnsi="Calibri" w:eastAsia="宋体" w:cs="宋体"/>
                <w:color w:val="000000"/>
                <w:kern w:val="0"/>
                <w:sz w:val="24"/>
              </w:rPr>
            </w:pPr>
            <w:r>
              <w:rPr>
                <w:rFonts w:hint="eastAsia" w:ascii="宋体" w:hAnsi="宋体" w:eastAsia="宋体" w:cs="宋体"/>
                <w:color w:val="000000"/>
                <w:kern w:val="0"/>
                <w:sz w:val="24"/>
              </w:rPr>
              <w:t>按发债企业统计，当年度参评机构参与承销在银行间市场与沪深交易所发债的非金融企业家数按从高到低顺序排名。第一名得</w:t>
            </w:r>
            <w:r>
              <w:rPr>
                <w:rFonts w:ascii="宋体" w:hAnsi="宋体" w:eastAsia="宋体" w:cs="宋体"/>
                <w:color w:val="000000"/>
                <w:kern w:val="0"/>
                <w:sz w:val="24"/>
              </w:rPr>
              <w:t>20</w:t>
            </w:r>
            <w:r>
              <w:rPr>
                <w:rFonts w:hint="eastAsia" w:ascii="宋体" w:hAnsi="宋体" w:eastAsia="宋体" w:cs="宋体"/>
                <w:color w:val="000000"/>
                <w:kern w:val="0"/>
                <w:sz w:val="24"/>
              </w:rPr>
              <w:t>分，第二名得</w:t>
            </w:r>
            <w:r>
              <w:rPr>
                <w:rFonts w:ascii="宋体" w:hAnsi="宋体" w:eastAsia="宋体" w:cs="宋体"/>
                <w:color w:val="000000"/>
                <w:kern w:val="0"/>
                <w:sz w:val="24"/>
              </w:rPr>
              <w:t>19</w:t>
            </w:r>
            <w:r>
              <w:rPr>
                <w:rFonts w:hint="eastAsia" w:ascii="宋体" w:hAnsi="宋体" w:eastAsia="宋体" w:cs="宋体"/>
                <w:color w:val="000000"/>
                <w:kern w:val="0"/>
                <w:sz w:val="24"/>
              </w:rPr>
              <w:t>分，每降一名减</w:t>
            </w:r>
            <w:r>
              <w:rPr>
                <w:rFonts w:ascii="宋体" w:hAnsi="宋体" w:eastAsia="宋体" w:cs="宋体"/>
                <w:color w:val="000000"/>
                <w:kern w:val="0"/>
                <w:sz w:val="24"/>
              </w:rPr>
              <w:t>1</w:t>
            </w:r>
            <w:r>
              <w:rPr>
                <w:rFonts w:hint="eastAsia" w:ascii="宋体" w:hAnsi="宋体" w:eastAsia="宋体" w:cs="宋体"/>
                <w:color w:val="000000"/>
                <w:kern w:val="0"/>
                <w:sz w:val="24"/>
              </w:rPr>
              <w:t>分，以此类推，第二十名之后不得分。</w:t>
            </w:r>
          </w:p>
        </w:tc>
        <w:tc>
          <w:tcPr>
            <w:tcW w:w="1705" w:type="dxa"/>
            <w:tcBorders>
              <w:top w:val="single" w:color="auto" w:sz="4" w:space="0"/>
              <w:left w:val="nil"/>
              <w:bottom w:val="single" w:color="auto" w:sz="4" w:space="0"/>
              <w:right w:val="single" w:color="auto" w:sz="4" w:space="0"/>
            </w:tcBorders>
            <w:vAlign w:val="center"/>
          </w:tcPr>
          <w:p>
            <w:pPr>
              <w:widowControl/>
              <w:spacing w:line="390" w:lineRule="exact"/>
              <w:jc w:val="left"/>
              <w:rPr>
                <w:rFonts w:ascii="宋体" w:hAnsi="Calibri" w:eastAsia="宋体" w:cs="宋体"/>
                <w:color w:val="000000"/>
                <w:kern w:val="0"/>
                <w:sz w:val="24"/>
              </w:rPr>
            </w:pPr>
          </w:p>
        </w:tc>
        <w:tc>
          <w:tcPr>
            <w:tcW w:w="140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color w:val="000000"/>
                <w:kern w:val="0"/>
                <w:sz w:val="24"/>
              </w:rPr>
            </w:pPr>
          </w:p>
        </w:tc>
      </w:tr>
      <w:tr>
        <w:tblPrEx>
          <w:tblLayout w:type="fixed"/>
          <w:tblCellMar>
            <w:top w:w="0" w:type="dxa"/>
            <w:left w:w="108" w:type="dxa"/>
            <w:bottom w:w="0" w:type="dxa"/>
            <w:right w:w="108" w:type="dxa"/>
          </w:tblCellMar>
        </w:tblPrEx>
        <w:trPr>
          <w:trHeight w:val="236"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spacing w:line="390" w:lineRule="exact"/>
              <w:jc w:val="center"/>
              <w:rPr>
                <w:rFonts w:ascii="宋体" w:hAnsi="Calibri" w:eastAsia="宋体" w:cs="宋体"/>
                <w:color w:val="000000"/>
                <w:kern w:val="0"/>
                <w:sz w:val="24"/>
              </w:rPr>
            </w:pPr>
            <w:r>
              <w:rPr>
                <w:rFonts w:ascii="宋体" w:hAnsi="宋体" w:eastAsia="宋体" w:cs="宋体"/>
                <w:color w:val="000000"/>
                <w:kern w:val="0"/>
                <w:sz w:val="24"/>
              </w:rPr>
              <w:t>3</w:t>
            </w:r>
          </w:p>
        </w:tc>
        <w:tc>
          <w:tcPr>
            <w:tcW w:w="1800" w:type="dxa"/>
            <w:tcBorders>
              <w:top w:val="single" w:color="auto" w:sz="4" w:space="0"/>
              <w:left w:val="nil"/>
              <w:bottom w:val="single" w:color="auto" w:sz="4" w:space="0"/>
              <w:right w:val="single" w:color="auto" w:sz="4" w:space="0"/>
            </w:tcBorders>
            <w:vAlign w:val="center"/>
          </w:tcPr>
          <w:p>
            <w:pPr>
              <w:widowControl/>
              <w:spacing w:line="390" w:lineRule="exact"/>
              <w:jc w:val="left"/>
              <w:rPr>
                <w:rFonts w:ascii="宋体" w:hAnsi="Calibri" w:eastAsia="宋体" w:cs="宋体"/>
                <w:color w:val="000000"/>
                <w:sz w:val="24"/>
              </w:rPr>
            </w:pPr>
            <w:r>
              <w:rPr>
                <w:rFonts w:hint="eastAsia" w:ascii="宋体" w:hAnsi="宋体" w:eastAsia="宋体" w:cs="宋体"/>
                <w:color w:val="000000"/>
                <w:sz w:val="24"/>
              </w:rPr>
              <w:t>当年新增承销非金融民营企业债券金额</w:t>
            </w:r>
          </w:p>
        </w:tc>
        <w:tc>
          <w:tcPr>
            <w:tcW w:w="4077" w:type="dxa"/>
            <w:tcBorders>
              <w:top w:val="single" w:color="auto" w:sz="4" w:space="0"/>
              <w:left w:val="nil"/>
              <w:bottom w:val="single" w:color="auto" w:sz="4" w:space="0"/>
              <w:right w:val="single" w:color="auto" w:sz="4" w:space="0"/>
            </w:tcBorders>
            <w:vAlign w:val="center"/>
          </w:tcPr>
          <w:p>
            <w:pPr>
              <w:widowControl/>
              <w:spacing w:line="390" w:lineRule="exact"/>
              <w:jc w:val="left"/>
              <w:rPr>
                <w:rFonts w:ascii="宋体" w:hAnsi="Calibri" w:eastAsia="宋体" w:cs="宋体"/>
                <w:color w:val="000000"/>
                <w:kern w:val="0"/>
                <w:sz w:val="24"/>
              </w:rPr>
            </w:pPr>
            <w:r>
              <w:rPr>
                <w:rFonts w:hint="eastAsia" w:ascii="宋体" w:hAnsi="宋体" w:eastAsia="宋体" w:cs="宋体"/>
                <w:color w:val="000000"/>
                <w:kern w:val="0"/>
                <w:sz w:val="24"/>
              </w:rPr>
              <w:t>当年度参评机构参与承销我省非金融</w:t>
            </w:r>
            <w:r>
              <w:rPr>
                <w:rFonts w:hint="eastAsia" w:ascii="宋体" w:hAnsi="宋体" w:eastAsia="宋体" w:cs="宋体"/>
                <w:color w:val="000000"/>
                <w:sz w:val="24"/>
              </w:rPr>
              <w:t>民营</w:t>
            </w:r>
            <w:r>
              <w:rPr>
                <w:rFonts w:hint="eastAsia" w:ascii="宋体" w:hAnsi="宋体" w:eastAsia="宋体" w:cs="宋体"/>
                <w:color w:val="000000"/>
                <w:kern w:val="0"/>
                <w:sz w:val="24"/>
              </w:rPr>
              <w:t>企业在银行间市场与沪深交易所发行债券金额按从高到低顺序排名。第一名得</w:t>
            </w:r>
            <w:r>
              <w:rPr>
                <w:rFonts w:ascii="宋体" w:hAnsi="宋体" w:eastAsia="宋体" w:cs="宋体"/>
                <w:color w:val="000000"/>
                <w:kern w:val="0"/>
                <w:sz w:val="24"/>
              </w:rPr>
              <w:t>10</w:t>
            </w:r>
            <w:r>
              <w:rPr>
                <w:rFonts w:hint="eastAsia" w:ascii="宋体" w:hAnsi="宋体" w:eastAsia="宋体" w:cs="宋体"/>
                <w:color w:val="000000"/>
                <w:kern w:val="0"/>
                <w:sz w:val="24"/>
              </w:rPr>
              <w:t>分，第二名得</w:t>
            </w:r>
            <w:r>
              <w:rPr>
                <w:rFonts w:ascii="宋体" w:hAnsi="宋体" w:eastAsia="宋体" w:cs="宋体"/>
                <w:color w:val="000000"/>
                <w:kern w:val="0"/>
                <w:sz w:val="24"/>
              </w:rPr>
              <w:t>9</w:t>
            </w:r>
            <w:r>
              <w:rPr>
                <w:rFonts w:hint="eastAsia" w:ascii="宋体" w:hAnsi="宋体" w:eastAsia="宋体" w:cs="宋体"/>
                <w:color w:val="000000"/>
                <w:kern w:val="0"/>
                <w:sz w:val="24"/>
              </w:rPr>
              <w:t>分，每降一名减</w:t>
            </w:r>
            <w:r>
              <w:rPr>
                <w:rFonts w:ascii="宋体" w:hAnsi="宋体" w:eastAsia="宋体" w:cs="宋体"/>
                <w:color w:val="000000"/>
                <w:kern w:val="0"/>
                <w:sz w:val="24"/>
              </w:rPr>
              <w:t>1</w:t>
            </w:r>
            <w:r>
              <w:rPr>
                <w:rFonts w:hint="eastAsia" w:ascii="宋体" w:hAnsi="宋体" w:eastAsia="宋体" w:cs="宋体"/>
                <w:color w:val="000000"/>
                <w:kern w:val="0"/>
                <w:sz w:val="24"/>
              </w:rPr>
              <w:t>分，以此类推，第十名之后不得分。</w:t>
            </w:r>
          </w:p>
        </w:tc>
        <w:tc>
          <w:tcPr>
            <w:tcW w:w="1705" w:type="dxa"/>
            <w:tcBorders>
              <w:top w:val="single" w:color="auto" w:sz="4" w:space="0"/>
              <w:left w:val="nil"/>
              <w:bottom w:val="single" w:color="auto" w:sz="4" w:space="0"/>
              <w:right w:val="single" w:color="auto" w:sz="4" w:space="0"/>
            </w:tcBorders>
            <w:vAlign w:val="center"/>
          </w:tcPr>
          <w:p>
            <w:pPr>
              <w:widowControl/>
              <w:spacing w:line="390" w:lineRule="exact"/>
              <w:jc w:val="left"/>
              <w:rPr>
                <w:rFonts w:ascii="宋体" w:hAnsi="Calibri" w:eastAsia="宋体" w:cs="宋体"/>
                <w:color w:val="000000"/>
                <w:kern w:val="0"/>
                <w:sz w:val="24"/>
              </w:rPr>
            </w:pPr>
          </w:p>
        </w:tc>
        <w:tc>
          <w:tcPr>
            <w:tcW w:w="140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color w:val="000000"/>
                <w:kern w:val="0"/>
                <w:sz w:val="24"/>
              </w:rPr>
            </w:pPr>
          </w:p>
        </w:tc>
      </w:tr>
      <w:tr>
        <w:tblPrEx>
          <w:tblLayout w:type="fixed"/>
          <w:tblCellMar>
            <w:top w:w="0" w:type="dxa"/>
            <w:left w:w="108" w:type="dxa"/>
            <w:bottom w:w="0" w:type="dxa"/>
            <w:right w:w="108" w:type="dxa"/>
          </w:tblCellMar>
        </w:tblPrEx>
        <w:trPr>
          <w:trHeight w:val="236"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spacing w:line="390" w:lineRule="exact"/>
              <w:jc w:val="center"/>
              <w:rPr>
                <w:rFonts w:ascii="宋体" w:hAnsi="Calibri" w:eastAsia="宋体" w:cs="宋体"/>
                <w:color w:val="000000"/>
                <w:kern w:val="0"/>
                <w:sz w:val="24"/>
              </w:rPr>
            </w:pPr>
            <w:r>
              <w:rPr>
                <w:rFonts w:ascii="宋体" w:hAnsi="宋体" w:eastAsia="宋体" w:cs="宋体"/>
                <w:color w:val="000000"/>
                <w:kern w:val="0"/>
                <w:sz w:val="24"/>
              </w:rPr>
              <w:t>4</w:t>
            </w:r>
          </w:p>
        </w:tc>
        <w:tc>
          <w:tcPr>
            <w:tcW w:w="1800" w:type="dxa"/>
            <w:tcBorders>
              <w:top w:val="single" w:color="auto" w:sz="4" w:space="0"/>
              <w:left w:val="nil"/>
              <w:bottom w:val="single" w:color="auto" w:sz="4" w:space="0"/>
              <w:right w:val="single" w:color="auto" w:sz="4" w:space="0"/>
            </w:tcBorders>
            <w:vAlign w:val="center"/>
          </w:tcPr>
          <w:p>
            <w:pPr>
              <w:widowControl/>
              <w:spacing w:line="390" w:lineRule="exact"/>
              <w:jc w:val="left"/>
              <w:rPr>
                <w:rFonts w:ascii="宋体" w:hAnsi="Calibri" w:eastAsia="宋体" w:cs="宋体"/>
                <w:color w:val="000000"/>
                <w:sz w:val="24"/>
              </w:rPr>
            </w:pPr>
            <w:r>
              <w:rPr>
                <w:rFonts w:hint="eastAsia" w:ascii="宋体" w:hAnsi="宋体" w:eastAsia="宋体" w:cs="宋体"/>
                <w:color w:val="000000"/>
                <w:sz w:val="24"/>
              </w:rPr>
              <w:t>当年服务发债非金融民营企业家数</w:t>
            </w:r>
          </w:p>
        </w:tc>
        <w:tc>
          <w:tcPr>
            <w:tcW w:w="4077" w:type="dxa"/>
            <w:tcBorders>
              <w:top w:val="single" w:color="auto" w:sz="4" w:space="0"/>
              <w:left w:val="nil"/>
              <w:bottom w:val="single" w:color="auto" w:sz="4" w:space="0"/>
              <w:right w:val="single" w:color="auto" w:sz="4" w:space="0"/>
            </w:tcBorders>
            <w:vAlign w:val="center"/>
          </w:tcPr>
          <w:p>
            <w:pPr>
              <w:widowControl/>
              <w:spacing w:line="390" w:lineRule="exact"/>
              <w:jc w:val="left"/>
              <w:rPr>
                <w:rFonts w:ascii="宋体" w:hAnsi="Calibri" w:eastAsia="宋体" w:cs="宋体"/>
                <w:color w:val="000000"/>
                <w:kern w:val="0"/>
                <w:sz w:val="24"/>
              </w:rPr>
            </w:pPr>
            <w:r>
              <w:rPr>
                <w:rFonts w:hint="eastAsia" w:ascii="宋体" w:hAnsi="宋体" w:eastAsia="宋体" w:cs="宋体"/>
                <w:color w:val="000000"/>
                <w:kern w:val="0"/>
                <w:sz w:val="24"/>
              </w:rPr>
              <w:t>按发债企业统计，当年度参评机构参与承销我省非金融民营企业在银行间市场与沪深交易所发行债券的企业家数按从高到低顺序排名。第一名得</w:t>
            </w:r>
            <w:r>
              <w:rPr>
                <w:rFonts w:ascii="宋体" w:hAnsi="宋体" w:eastAsia="宋体" w:cs="宋体"/>
                <w:color w:val="000000"/>
                <w:kern w:val="0"/>
                <w:sz w:val="24"/>
              </w:rPr>
              <w:t>10</w:t>
            </w:r>
            <w:r>
              <w:rPr>
                <w:rFonts w:hint="eastAsia" w:ascii="宋体" w:hAnsi="宋体" w:eastAsia="宋体" w:cs="宋体"/>
                <w:color w:val="000000"/>
                <w:kern w:val="0"/>
                <w:sz w:val="24"/>
              </w:rPr>
              <w:t>分，第二名得</w:t>
            </w:r>
            <w:r>
              <w:rPr>
                <w:rFonts w:ascii="宋体" w:hAnsi="宋体" w:eastAsia="宋体" w:cs="宋体"/>
                <w:color w:val="000000"/>
                <w:kern w:val="0"/>
                <w:sz w:val="24"/>
              </w:rPr>
              <w:t>9</w:t>
            </w:r>
            <w:r>
              <w:rPr>
                <w:rFonts w:hint="eastAsia" w:ascii="宋体" w:hAnsi="宋体" w:eastAsia="宋体" w:cs="宋体"/>
                <w:color w:val="000000"/>
                <w:kern w:val="0"/>
                <w:sz w:val="24"/>
              </w:rPr>
              <w:t>分，每降一名减</w:t>
            </w:r>
            <w:r>
              <w:rPr>
                <w:rFonts w:ascii="宋体" w:hAnsi="宋体" w:eastAsia="宋体" w:cs="宋体"/>
                <w:color w:val="000000"/>
                <w:kern w:val="0"/>
                <w:sz w:val="24"/>
              </w:rPr>
              <w:t>1</w:t>
            </w:r>
            <w:r>
              <w:rPr>
                <w:rFonts w:hint="eastAsia" w:ascii="宋体" w:hAnsi="宋体" w:eastAsia="宋体" w:cs="宋体"/>
                <w:color w:val="000000"/>
                <w:kern w:val="0"/>
                <w:sz w:val="24"/>
              </w:rPr>
              <w:t>分，以此类推，第十名之后不得分。</w:t>
            </w:r>
          </w:p>
        </w:tc>
        <w:tc>
          <w:tcPr>
            <w:tcW w:w="1705" w:type="dxa"/>
            <w:tcBorders>
              <w:top w:val="single" w:color="auto" w:sz="4" w:space="0"/>
              <w:left w:val="nil"/>
              <w:bottom w:val="single" w:color="auto" w:sz="4" w:space="0"/>
              <w:right w:val="single" w:color="auto" w:sz="4" w:space="0"/>
            </w:tcBorders>
            <w:vAlign w:val="center"/>
          </w:tcPr>
          <w:p>
            <w:pPr>
              <w:widowControl/>
              <w:spacing w:line="390" w:lineRule="exact"/>
              <w:jc w:val="left"/>
              <w:rPr>
                <w:rFonts w:ascii="宋体" w:hAnsi="Calibri" w:eastAsia="宋体" w:cs="宋体"/>
                <w:color w:val="000000"/>
                <w:kern w:val="0"/>
                <w:sz w:val="24"/>
              </w:rPr>
            </w:pPr>
          </w:p>
        </w:tc>
        <w:tc>
          <w:tcPr>
            <w:tcW w:w="140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color w:val="000000"/>
                <w:kern w:val="0"/>
                <w:sz w:val="24"/>
              </w:rPr>
            </w:pPr>
          </w:p>
        </w:tc>
      </w:tr>
      <w:tr>
        <w:tblPrEx>
          <w:tblLayout w:type="fixed"/>
          <w:tblCellMar>
            <w:top w:w="0" w:type="dxa"/>
            <w:left w:w="108" w:type="dxa"/>
            <w:bottom w:w="0" w:type="dxa"/>
            <w:right w:w="108" w:type="dxa"/>
          </w:tblCellMar>
        </w:tblPrEx>
        <w:trPr>
          <w:trHeight w:val="236"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spacing w:line="410" w:lineRule="exact"/>
              <w:jc w:val="center"/>
              <w:rPr>
                <w:rFonts w:ascii="宋体" w:hAnsi="Calibri" w:eastAsia="宋体" w:cs="宋体"/>
                <w:color w:val="000000"/>
                <w:kern w:val="0"/>
                <w:sz w:val="24"/>
              </w:rPr>
            </w:pPr>
            <w:r>
              <w:rPr>
                <w:rFonts w:ascii="宋体" w:hAnsi="宋体" w:eastAsia="宋体" w:cs="宋体"/>
                <w:color w:val="000000"/>
                <w:kern w:val="0"/>
                <w:sz w:val="24"/>
              </w:rPr>
              <w:t>5</w:t>
            </w:r>
          </w:p>
        </w:tc>
        <w:tc>
          <w:tcPr>
            <w:tcW w:w="1800" w:type="dxa"/>
            <w:tcBorders>
              <w:top w:val="single" w:color="auto" w:sz="4" w:space="0"/>
              <w:left w:val="nil"/>
              <w:bottom w:val="single" w:color="auto" w:sz="4" w:space="0"/>
              <w:right w:val="single" w:color="auto" w:sz="4" w:space="0"/>
            </w:tcBorders>
            <w:vAlign w:val="center"/>
          </w:tcPr>
          <w:p>
            <w:pPr>
              <w:widowControl/>
              <w:spacing w:line="410" w:lineRule="exact"/>
              <w:jc w:val="left"/>
              <w:rPr>
                <w:rFonts w:ascii="宋体" w:hAnsi="Calibri" w:eastAsia="宋体" w:cs="宋体"/>
                <w:color w:val="000000"/>
                <w:kern w:val="0"/>
                <w:sz w:val="24"/>
              </w:rPr>
            </w:pPr>
            <w:r>
              <w:rPr>
                <w:rFonts w:hint="eastAsia" w:ascii="宋体" w:hAnsi="宋体" w:eastAsia="宋体" w:cs="宋体"/>
                <w:color w:val="000000"/>
                <w:sz w:val="24"/>
              </w:rPr>
              <w:t>服务的发债企业是否出现债券违约风险</w:t>
            </w:r>
          </w:p>
        </w:tc>
        <w:tc>
          <w:tcPr>
            <w:tcW w:w="4077" w:type="dxa"/>
            <w:tcBorders>
              <w:top w:val="single" w:color="auto" w:sz="4" w:space="0"/>
              <w:left w:val="nil"/>
              <w:bottom w:val="single" w:color="auto" w:sz="4" w:space="0"/>
              <w:right w:val="single" w:color="auto" w:sz="4" w:space="0"/>
            </w:tcBorders>
            <w:vAlign w:val="center"/>
          </w:tcPr>
          <w:p>
            <w:pPr>
              <w:widowControl/>
              <w:spacing w:line="410" w:lineRule="exact"/>
              <w:jc w:val="left"/>
              <w:rPr>
                <w:rFonts w:ascii="宋体" w:hAnsi="Calibri" w:eastAsia="宋体" w:cs="宋体"/>
                <w:color w:val="000000"/>
                <w:kern w:val="0"/>
                <w:sz w:val="24"/>
              </w:rPr>
            </w:pPr>
            <w:r>
              <w:rPr>
                <w:rFonts w:hint="eastAsia" w:ascii="宋体" w:hAnsi="宋体" w:eastAsia="宋体" w:cs="宋体"/>
                <w:color w:val="000000"/>
                <w:kern w:val="0"/>
                <w:sz w:val="24"/>
              </w:rPr>
              <w:t>基本分（</w:t>
            </w:r>
            <w:r>
              <w:rPr>
                <w:rFonts w:ascii="宋体" w:hAnsi="宋体" w:eastAsia="宋体" w:cs="宋体"/>
                <w:color w:val="000000"/>
                <w:kern w:val="0"/>
                <w:sz w:val="24"/>
              </w:rPr>
              <w:t>20</w:t>
            </w:r>
            <w:r>
              <w:rPr>
                <w:rFonts w:hint="eastAsia" w:ascii="宋体" w:hAnsi="宋体" w:eastAsia="宋体" w:cs="宋体"/>
                <w:color w:val="000000"/>
                <w:kern w:val="0"/>
                <w:sz w:val="24"/>
              </w:rPr>
              <w:t>分）：若参评机构承销的债券当年度没有出现违约风险，得基本分</w:t>
            </w:r>
            <w:r>
              <w:rPr>
                <w:rFonts w:ascii="宋体" w:hAnsi="宋体" w:eastAsia="宋体" w:cs="宋体"/>
                <w:color w:val="000000"/>
                <w:kern w:val="0"/>
                <w:sz w:val="24"/>
              </w:rPr>
              <w:t>20</w:t>
            </w:r>
            <w:r>
              <w:rPr>
                <w:rFonts w:hint="eastAsia" w:ascii="宋体" w:hAnsi="宋体" w:eastAsia="宋体" w:cs="宋体"/>
                <w:color w:val="000000"/>
                <w:kern w:val="0"/>
                <w:sz w:val="24"/>
              </w:rPr>
              <w:t>分。</w:t>
            </w:r>
          </w:p>
          <w:p>
            <w:pPr>
              <w:widowControl/>
              <w:spacing w:line="410" w:lineRule="exact"/>
              <w:jc w:val="left"/>
              <w:rPr>
                <w:rFonts w:ascii="宋体" w:hAnsi="Calibri" w:eastAsia="宋体" w:cs="宋体"/>
                <w:color w:val="000000"/>
                <w:kern w:val="0"/>
                <w:sz w:val="24"/>
              </w:rPr>
            </w:pPr>
            <w:r>
              <w:rPr>
                <w:rFonts w:hint="eastAsia" w:ascii="宋体" w:hAnsi="宋体" w:eastAsia="宋体" w:cs="宋体"/>
                <w:color w:val="000000"/>
                <w:kern w:val="0"/>
                <w:sz w:val="24"/>
              </w:rPr>
              <w:t>若出现违约风险，则按以下情况评价：</w:t>
            </w:r>
            <w:r>
              <w:rPr>
                <w:rFonts w:ascii="宋体" w:hAnsi="宋体" w:eastAsia="宋体" w:cs="宋体"/>
                <w:color w:val="000000"/>
                <w:kern w:val="0"/>
                <w:sz w:val="24"/>
              </w:rPr>
              <w:t>1</w:t>
            </w:r>
            <w:r>
              <w:rPr>
                <w:rFonts w:ascii="宋体" w:hAnsi="Calibri" w:eastAsia="宋体" w:cs="宋体"/>
                <w:color w:val="000000"/>
                <w:kern w:val="0"/>
                <w:sz w:val="24"/>
              </w:rPr>
              <w:t>.</w:t>
            </w:r>
            <w:r>
              <w:rPr>
                <w:rFonts w:hint="eastAsia" w:ascii="宋体" w:hAnsi="宋体" w:eastAsia="宋体" w:cs="宋体"/>
                <w:color w:val="000000"/>
                <w:kern w:val="0"/>
                <w:sz w:val="24"/>
              </w:rPr>
              <w:t>若参评机构积极配合有关部门做好风险处置工作，得</w:t>
            </w:r>
            <w:r>
              <w:rPr>
                <w:rFonts w:ascii="宋体" w:hAnsi="宋体" w:eastAsia="宋体" w:cs="宋体"/>
                <w:color w:val="000000"/>
                <w:kern w:val="0"/>
                <w:sz w:val="24"/>
              </w:rPr>
              <w:t>10</w:t>
            </w:r>
            <w:r>
              <w:rPr>
                <w:rFonts w:hint="eastAsia" w:ascii="宋体" w:hAnsi="宋体" w:eastAsia="宋体" w:cs="宋体"/>
                <w:color w:val="000000"/>
                <w:kern w:val="0"/>
                <w:sz w:val="24"/>
              </w:rPr>
              <w:t>分；</w:t>
            </w:r>
            <w:r>
              <w:rPr>
                <w:rFonts w:ascii="宋体" w:hAnsi="宋体" w:eastAsia="宋体" w:cs="宋体"/>
                <w:color w:val="000000"/>
                <w:kern w:val="0"/>
                <w:sz w:val="24"/>
              </w:rPr>
              <w:t>2</w:t>
            </w:r>
            <w:r>
              <w:rPr>
                <w:rFonts w:ascii="宋体" w:hAnsi="Calibri" w:eastAsia="宋体" w:cs="宋体"/>
                <w:color w:val="000000"/>
                <w:kern w:val="0"/>
                <w:sz w:val="24"/>
              </w:rPr>
              <w:t>.</w:t>
            </w:r>
            <w:r>
              <w:rPr>
                <w:rFonts w:hint="eastAsia" w:ascii="宋体" w:hAnsi="宋体" w:eastAsia="宋体" w:cs="宋体"/>
                <w:color w:val="000000"/>
                <w:kern w:val="0"/>
                <w:sz w:val="24"/>
              </w:rPr>
              <w:t>若参评机构未积极配合有关部门做好风险处置工作，或参评机构被监管部门采取立案调查、行政处罚等措施，取消当年参评资格。</w:t>
            </w:r>
          </w:p>
        </w:tc>
        <w:tc>
          <w:tcPr>
            <w:tcW w:w="1705" w:type="dxa"/>
            <w:tcBorders>
              <w:top w:val="single" w:color="auto" w:sz="4" w:space="0"/>
              <w:left w:val="nil"/>
              <w:bottom w:val="single" w:color="auto" w:sz="4" w:space="0"/>
              <w:right w:val="single" w:color="auto" w:sz="4" w:space="0"/>
            </w:tcBorders>
            <w:vAlign w:val="center"/>
          </w:tcPr>
          <w:p>
            <w:pPr>
              <w:widowControl/>
              <w:spacing w:line="410" w:lineRule="exact"/>
              <w:jc w:val="left"/>
              <w:rPr>
                <w:rFonts w:ascii="宋体" w:hAnsi="Calibri" w:eastAsia="宋体" w:cs="宋体"/>
                <w:color w:val="000000"/>
                <w:kern w:val="0"/>
                <w:sz w:val="24"/>
              </w:rPr>
            </w:pPr>
          </w:p>
        </w:tc>
        <w:tc>
          <w:tcPr>
            <w:tcW w:w="140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color w:val="000000"/>
                <w:kern w:val="0"/>
                <w:sz w:val="24"/>
              </w:rPr>
            </w:pPr>
          </w:p>
        </w:tc>
      </w:tr>
      <w:tr>
        <w:tblPrEx>
          <w:tblLayout w:type="fixed"/>
          <w:tblCellMar>
            <w:top w:w="0" w:type="dxa"/>
            <w:left w:w="108" w:type="dxa"/>
            <w:bottom w:w="0" w:type="dxa"/>
            <w:right w:w="108" w:type="dxa"/>
          </w:tblCellMar>
        </w:tblPrEx>
        <w:trPr>
          <w:trHeight w:val="236"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Calibri" w:eastAsia="宋体" w:cs="宋体"/>
                <w:color w:val="000000"/>
                <w:kern w:val="0"/>
                <w:sz w:val="24"/>
              </w:rPr>
            </w:pPr>
            <w:r>
              <w:rPr>
                <w:rFonts w:ascii="宋体" w:hAnsi="宋体" w:eastAsia="宋体" w:cs="宋体"/>
                <w:color w:val="000000"/>
                <w:kern w:val="0"/>
                <w:sz w:val="24"/>
              </w:rPr>
              <w:t>6</w:t>
            </w:r>
          </w:p>
        </w:tc>
        <w:tc>
          <w:tcPr>
            <w:tcW w:w="1800"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Calibri" w:eastAsia="宋体" w:cs="宋体"/>
                <w:color w:val="000000"/>
                <w:kern w:val="0"/>
                <w:sz w:val="24"/>
              </w:rPr>
            </w:pPr>
            <w:r>
              <w:rPr>
                <w:rFonts w:hint="eastAsia" w:ascii="宋体" w:hAnsi="宋体" w:eastAsia="宋体" w:cs="宋体"/>
                <w:color w:val="000000"/>
                <w:sz w:val="24"/>
              </w:rPr>
              <w:t>承销</w:t>
            </w:r>
            <w:r>
              <w:rPr>
                <w:rFonts w:hint="eastAsia" w:ascii="宋体" w:hAnsi="宋体" w:eastAsia="宋体" w:cs="宋体"/>
                <w:color w:val="000000"/>
                <w:kern w:val="0"/>
                <w:sz w:val="24"/>
              </w:rPr>
              <w:t>创新创业债、绿色债、小微企业增信集合债、REITs等情况</w:t>
            </w:r>
          </w:p>
        </w:tc>
        <w:tc>
          <w:tcPr>
            <w:tcW w:w="407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Calibri" w:eastAsia="宋体" w:cs="宋体"/>
                <w:color w:val="000000"/>
                <w:kern w:val="0"/>
                <w:sz w:val="24"/>
              </w:rPr>
            </w:pPr>
            <w:r>
              <w:rPr>
                <w:rFonts w:hint="eastAsia" w:ascii="宋体" w:hAnsi="宋体" w:eastAsia="宋体" w:cs="宋体"/>
                <w:color w:val="000000"/>
                <w:kern w:val="0"/>
                <w:sz w:val="24"/>
              </w:rPr>
              <w:t>附加分（</w:t>
            </w:r>
            <w:r>
              <w:rPr>
                <w:rFonts w:ascii="宋体" w:hAnsi="宋体" w:eastAsia="宋体" w:cs="宋体"/>
                <w:color w:val="000000"/>
                <w:kern w:val="0"/>
                <w:sz w:val="24"/>
              </w:rPr>
              <w:t>6</w:t>
            </w:r>
            <w:r>
              <w:rPr>
                <w:rFonts w:hint="eastAsia" w:ascii="宋体" w:hAnsi="宋体" w:eastAsia="宋体" w:cs="宋体"/>
                <w:color w:val="000000"/>
                <w:kern w:val="0"/>
                <w:sz w:val="24"/>
              </w:rPr>
              <w:t>分）：当年度参评机构参与承销我省非金融企业发行创新创业债、绿色债、小微企业增信集合债、REITs等品种，每承销</w:t>
            </w:r>
            <w:r>
              <w:rPr>
                <w:rFonts w:ascii="宋体" w:hAnsi="宋体" w:eastAsia="宋体" w:cs="宋体"/>
                <w:color w:val="000000"/>
                <w:kern w:val="0"/>
                <w:sz w:val="24"/>
              </w:rPr>
              <w:t>1</w:t>
            </w:r>
            <w:r>
              <w:rPr>
                <w:rFonts w:hint="eastAsia" w:ascii="宋体" w:hAnsi="宋体" w:eastAsia="宋体" w:cs="宋体"/>
                <w:color w:val="000000"/>
                <w:kern w:val="0"/>
                <w:sz w:val="24"/>
              </w:rPr>
              <w:t>种，加</w:t>
            </w:r>
            <w:r>
              <w:rPr>
                <w:rFonts w:ascii="宋体" w:hAnsi="宋体" w:eastAsia="宋体" w:cs="宋体"/>
                <w:color w:val="000000"/>
                <w:kern w:val="0"/>
                <w:sz w:val="24"/>
              </w:rPr>
              <w:t>2</w:t>
            </w:r>
            <w:r>
              <w:rPr>
                <w:rFonts w:hint="eastAsia" w:ascii="宋体" w:hAnsi="宋体" w:eastAsia="宋体" w:cs="宋体"/>
                <w:color w:val="000000"/>
                <w:kern w:val="0"/>
                <w:sz w:val="24"/>
              </w:rPr>
              <w:t>分。本指标上限</w:t>
            </w:r>
            <w:r>
              <w:rPr>
                <w:rFonts w:ascii="宋体" w:hAnsi="宋体" w:eastAsia="宋体" w:cs="宋体"/>
                <w:color w:val="000000"/>
                <w:kern w:val="0"/>
                <w:sz w:val="24"/>
              </w:rPr>
              <w:t>6</w:t>
            </w:r>
            <w:r>
              <w:rPr>
                <w:rFonts w:hint="eastAsia" w:ascii="宋体" w:hAnsi="宋体" w:eastAsia="宋体" w:cs="宋体"/>
                <w:color w:val="000000"/>
                <w:kern w:val="0"/>
                <w:sz w:val="24"/>
              </w:rPr>
              <w:t>分，若无不得分。</w:t>
            </w:r>
          </w:p>
        </w:tc>
        <w:tc>
          <w:tcPr>
            <w:tcW w:w="1705"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Calibri" w:eastAsia="宋体" w:cs="宋体"/>
                <w:color w:val="000000"/>
                <w:kern w:val="0"/>
                <w:sz w:val="24"/>
              </w:rPr>
            </w:pPr>
          </w:p>
        </w:tc>
        <w:tc>
          <w:tcPr>
            <w:tcW w:w="140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color w:val="000000"/>
                <w:kern w:val="0"/>
                <w:sz w:val="24"/>
              </w:rPr>
            </w:pPr>
          </w:p>
        </w:tc>
      </w:tr>
    </w:tbl>
    <w:p>
      <w:pPr>
        <w:ind w:right="640"/>
        <w:jc w:val="left"/>
        <w:rPr>
          <w:rFonts w:hint="eastAsia" w:ascii="仿宋_GB2312" w:hAnsi="黑体" w:eastAsia="仿宋_GB2312"/>
          <w:sz w:val="32"/>
          <w:szCs w:val="32"/>
        </w:rPr>
      </w:pPr>
    </w:p>
    <w:p>
      <w:pPr>
        <w:ind w:right="640"/>
        <w:jc w:val="left"/>
        <w:rPr>
          <w:rFonts w:hint="eastAsia" w:ascii="仿宋_GB2312" w:hAnsi="黑体" w:eastAsia="仿宋_GB2312"/>
          <w:sz w:val="32"/>
          <w:szCs w:val="32"/>
        </w:rPr>
      </w:pPr>
    </w:p>
    <w:p>
      <w:pPr>
        <w:ind w:right="640"/>
        <w:jc w:val="left"/>
        <w:rPr>
          <w:rFonts w:hint="eastAsia" w:ascii="仿宋_GB2312" w:hAnsi="黑体" w:eastAsia="仿宋_GB2312"/>
          <w:sz w:val="32"/>
          <w:szCs w:val="32"/>
        </w:rPr>
      </w:pPr>
    </w:p>
    <w:p>
      <w:pPr>
        <w:spacing w:line="460" w:lineRule="exact"/>
        <w:ind w:left="981" w:hanging="981"/>
        <w:rPr>
          <w:rFonts w:hint="eastAsia" w:ascii="仿宋_GB2312"/>
          <w:sz w:val="28"/>
          <w:szCs w:val="28"/>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966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RSNET</dc:creator>
  <cp:lastModifiedBy>RSNET</cp:lastModifiedBy>
  <dcterms:modified xsi:type="dcterms:W3CDTF">2023-04-10T07:03:58Z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