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</w:p>
    <w:p>
      <w:pPr>
        <w:widowControl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金融机构服务非金融企业股权融资评价自评表</w:t>
      </w:r>
    </w:p>
    <w:p>
      <w:pPr>
        <w:spacing w:line="600" w:lineRule="exact"/>
        <w:textAlignment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3"/>
        <w:tblW w:w="9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000"/>
        <w:gridCol w:w="4191"/>
        <w:gridCol w:w="166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评价指标</w:t>
            </w:r>
          </w:p>
        </w:tc>
        <w:tc>
          <w:tcPr>
            <w:tcW w:w="41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考评标准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自评情况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  <w:t>（金额、数量等）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佐证材料目录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当年新增境内上市、过会或新三板精选层挂牌企业数量</w:t>
            </w:r>
          </w:p>
        </w:tc>
        <w:tc>
          <w:tcPr>
            <w:tcW w:w="419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30" w:lineRule="exact"/>
              <w:ind w:left="35" w:hanging="35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分）：当年度新增企业在沪深交易所上市或新三板精选层挂牌数量超过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家，得基本分</w:t>
            </w:r>
            <w:r>
              <w:rPr>
                <w:rFonts w:ascii="宋体" w:hAnsi="宋体" w:eastAsia="宋体" w:cs="宋体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分；新增企业于证监会、沪深交易所或新三板精选层审核过会数量超过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家，得基本分</w:t>
            </w:r>
            <w:r>
              <w:rPr>
                <w:rFonts w:ascii="宋体" w:hAnsi="宋体" w:eastAsia="宋体" w:cs="宋体"/>
                <w:kern w:val="0"/>
                <w:sz w:val="24"/>
              </w:rPr>
              <w:t>7.5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分。该项上限</w:t>
            </w:r>
            <w:r>
              <w:rPr>
                <w:rFonts w:ascii="宋体" w:hAnsi="宋体" w:eastAsia="宋体" w:cs="宋体"/>
                <w:kern w:val="0"/>
                <w:sz w:val="24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  <w:p>
            <w:pPr>
              <w:widowControl/>
              <w:numPr>
                <w:ilvl w:val="0"/>
                <w:numId w:val="1"/>
              </w:numPr>
              <w:spacing w:line="330" w:lineRule="exact"/>
              <w:ind w:left="35" w:hanging="35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增量得分（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分）：在获得基本分（服务1家企业）基础上，每新增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家企业在沪深交易所上市或新三板精选层挂牌，加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分；每新增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家企业于证监会、沪深交易所或新三板精选层审核过会，加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分。该项上限</w:t>
            </w:r>
            <w:r>
              <w:rPr>
                <w:rFonts w:ascii="宋体" w:hAnsi="宋体" w:eastAsia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当年新增在新三板基础层、创新层挂牌企业数量</w:t>
            </w:r>
          </w:p>
        </w:tc>
        <w:tc>
          <w:tcPr>
            <w:tcW w:w="419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30" w:lineRule="exact"/>
              <w:ind w:left="0" w:firstLine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分）：当年度达到新增企业在新三板基础层或创新层挂牌数量超过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家，得基本分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  <w:p>
            <w:pPr>
              <w:widowControl/>
              <w:numPr>
                <w:ilvl w:val="0"/>
                <w:numId w:val="2"/>
              </w:numPr>
              <w:spacing w:line="330" w:lineRule="exact"/>
              <w:ind w:left="35" w:hanging="3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增量得分（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分）：在获得基本分（服务1家企业）基础上，每新增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家新三板基础层或创新层挂牌企业，加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分。该项上限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当年新增在证监局辅导备案企业数量</w:t>
            </w:r>
          </w:p>
        </w:tc>
        <w:tc>
          <w:tcPr>
            <w:tcW w:w="419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30" w:lineRule="exact"/>
              <w:ind w:left="0" w:firstLine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分）：当年度新增在证监局辅导备案的拟上市企业超过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家，得基本分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  <w:p>
            <w:pPr>
              <w:widowControl/>
              <w:numPr>
                <w:ilvl w:val="0"/>
                <w:numId w:val="3"/>
              </w:numPr>
              <w:spacing w:line="330" w:lineRule="exact"/>
              <w:ind w:left="0" w:firstLine="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增量得分（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分）：在获得基本分（服务1家企业）基础上，每新增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家在证监局辅导备案的拟上市企业，加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分。该项上限</w:t>
            </w: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当年新增企业上市首发融资、再融资以及新三板精选层挂牌企业融资金额</w:t>
            </w:r>
          </w:p>
        </w:tc>
        <w:tc>
          <w:tcPr>
            <w:tcW w:w="4191" w:type="dxa"/>
            <w:vAlign w:val="center"/>
          </w:tcPr>
          <w:p>
            <w:pPr>
              <w:widowControl/>
              <w:spacing w:line="33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①基本分（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分）：按单个参评机构统计，当年度新增上市公司首发融资、再融资以及新三板精选层挂牌企业融资金额合计超过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亿元，得基本分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  <w:p>
            <w:pPr>
              <w:widowControl/>
              <w:spacing w:line="33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②增量得分（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分）：在获得基本分（服务融资1亿元）的基础上，</w:t>
            </w:r>
            <w:r>
              <w:rPr>
                <w:rFonts w:ascii="宋体" w:hAnsi="宋体" w:eastAsia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亿元＜新增首发融资、再融资和新三板精选层挂牌企业融资金额≤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分；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亿元＜新增首发融资、再融资和新三板精选层挂牌企业融资金额≤</w:t>
            </w:r>
            <w:r>
              <w:rPr>
                <w:rFonts w:ascii="宋体" w:hAnsi="宋体" w:eastAsia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分；</w:t>
            </w:r>
            <w:r>
              <w:rPr>
                <w:rFonts w:ascii="宋体" w:hAnsi="宋体" w:eastAsia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亿元＜新增首发融资、再融资和新三板精选层挂牌企业融资金额≤</w:t>
            </w:r>
            <w:r>
              <w:rPr>
                <w:rFonts w:ascii="宋体" w:hAnsi="宋体" w:eastAsia="宋体" w:cs="宋体"/>
                <w:kern w:val="0"/>
                <w:sz w:val="24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分；新增首发融资、再融资和新三板精选层挂牌企业融资金额≥</w:t>
            </w:r>
            <w:r>
              <w:rPr>
                <w:rFonts w:ascii="宋体" w:hAnsi="宋体" w:eastAsia="宋体" w:cs="宋体"/>
                <w:kern w:val="0"/>
                <w:sz w:val="24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亿元，加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分。该项上限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分，若无不得分。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参评机构保荐的</w:t>
            </w:r>
            <w:r>
              <w:rPr>
                <w:rFonts w:hint="eastAsia" w:ascii="宋体" w:hAnsi="宋体" w:eastAsia="宋体" w:cs="宋体"/>
                <w:sz w:val="24"/>
              </w:rPr>
              <w:t>上市公司是否出现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欺诈发行、财务造假等</w:t>
            </w:r>
            <w:r>
              <w:rPr>
                <w:rFonts w:hint="eastAsia" w:ascii="宋体" w:hAnsi="宋体" w:eastAsia="宋体" w:cs="宋体"/>
                <w:sz w:val="24"/>
              </w:rPr>
              <w:t>重大风险</w:t>
            </w:r>
          </w:p>
        </w:tc>
        <w:tc>
          <w:tcPr>
            <w:tcW w:w="419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基本分（</w:t>
            </w:r>
            <w:r>
              <w:rPr>
                <w:rFonts w:ascii="宋体" w:hAnsi="宋体" w:eastAsia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分）：若当年度参评机构保荐的上市公司没有出现欺诈发行、财务造假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</w:rPr>
              <w:t>等重大风险事件，得基本分</w:t>
            </w:r>
            <w:r>
              <w:rPr>
                <w:rFonts w:ascii="宋体" w:hAnsi="宋体" w:eastAsia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若出现欺诈发行、财务造假等重大风险事件，则按以下情况评价：</w:t>
            </w:r>
            <w:r>
              <w:rPr>
                <w:rFonts w:ascii="宋体" w:hAnsi="宋体" w:eastAsia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若参评机构积极配合有关部门做好风险处置工作，且监管部门尚未认定参评机构负相应责任，得</w:t>
            </w:r>
            <w:r>
              <w:rPr>
                <w:rFonts w:ascii="宋体" w:hAnsi="宋体" w:eastAsia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分；</w:t>
            </w:r>
            <w:r>
              <w:rPr>
                <w:rFonts w:ascii="宋体" w:hAnsi="宋体" w:eastAsia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若参评机构未积极配合有关部门做好风险处置工作，或被监管部门采取立案调查、行政处罚等措施，取消当年参评资格。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ind w:left="843" w:hanging="723" w:hanging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备注：因资本市场改革，新三板精选层挂牌已调整为北交所上市，企业自评时，表中所指新三板精选层挂牌情况按北交所上市情况统计。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04A"/>
    <w:multiLevelType w:val="multilevel"/>
    <w:tmpl w:val="03BA304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296853"/>
    <w:multiLevelType w:val="multilevel"/>
    <w:tmpl w:val="3E29685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3CF4C3F"/>
    <w:multiLevelType w:val="multilevel"/>
    <w:tmpl w:val="63CF4C3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C04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2023-04-10T07:03:36Z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