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r>
        <w:rPr>
          <w:rFonts w:hint="eastAsia" w:ascii="黑体" w:hAnsi="黑体" w:eastAsia="黑体"/>
          <w:sz w:val="32"/>
          <w:szCs w:val="32"/>
        </w:rPr>
        <w:t>附件２</w:t>
      </w:r>
    </w:p>
    <w:p>
      <w:pPr>
        <w:spacing w:line="580" w:lineRule="exact"/>
        <w:jc w:val="center"/>
        <w:rPr>
          <w:rFonts w:ascii="方正小标宋简体" w:eastAsia="方正小标宋简体"/>
          <w:sz w:val="36"/>
          <w:szCs w:val="36"/>
        </w:rPr>
      </w:pP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南平市绿色企业及绿色项目评价认定办法（简版）</w:t>
      </w:r>
    </w:p>
    <w:p>
      <w:pPr>
        <w:spacing w:line="580" w:lineRule="exact"/>
        <w:jc w:val="center"/>
        <w:rPr>
          <w:rFonts w:ascii="楷体_GB2312" w:eastAsia="楷体_GB2312"/>
          <w:b/>
          <w:sz w:val="32"/>
          <w:szCs w:val="32"/>
        </w:rPr>
      </w:pPr>
      <w:r>
        <w:rPr>
          <w:rFonts w:hint="eastAsia" w:ascii="楷体_GB2312" w:eastAsia="楷体_GB2312"/>
          <w:b/>
          <w:sz w:val="32"/>
          <w:szCs w:val="32"/>
        </w:rPr>
        <w:t>（绿色企业评价部分）</w:t>
      </w:r>
    </w:p>
    <w:p>
      <w:pPr>
        <w:widowControl/>
        <w:spacing w:line="580" w:lineRule="exact"/>
        <w:rPr>
          <w:rFonts w:ascii="方正小标宋简体" w:eastAsia="方正小标宋简体"/>
          <w:sz w:val="36"/>
          <w:szCs w:val="36"/>
        </w:rPr>
      </w:pPr>
    </w:p>
    <w:p>
      <w:pPr>
        <w:keepNext/>
        <w:keepLines/>
        <w:adjustRightInd w:val="0"/>
        <w:snapToGrid w:val="0"/>
        <w:spacing w:line="580" w:lineRule="exact"/>
        <w:ind w:firstLine="640" w:firstLineChars="200"/>
        <w:outlineLvl w:val="0"/>
        <w:rPr>
          <w:rFonts w:ascii="黑体" w:hAnsi="黑体" w:eastAsia="黑体"/>
          <w:bCs/>
          <w:kern w:val="44"/>
          <w:sz w:val="32"/>
          <w:szCs w:val="32"/>
        </w:rPr>
      </w:pPr>
      <w:bookmarkStart w:id="0" w:name="_Toc75783251"/>
      <w:bookmarkEnd w:id="0"/>
      <w:r>
        <w:rPr>
          <w:rFonts w:hint="eastAsia" w:ascii="黑体" w:hAnsi="黑体" w:eastAsia="黑体"/>
          <w:bCs/>
          <w:kern w:val="44"/>
          <w:sz w:val="32"/>
          <w:szCs w:val="32"/>
        </w:rPr>
        <w:t>一、术语和定义</w:t>
      </w:r>
    </w:p>
    <w:p>
      <w:pPr>
        <w:spacing w:line="580" w:lineRule="exact"/>
        <w:ind w:firstLine="640" w:firstLineChars="200"/>
        <w:rPr>
          <w:rFonts w:ascii="仿宋_GB2312"/>
          <w:sz w:val="32"/>
          <w:szCs w:val="32"/>
        </w:rPr>
      </w:pPr>
      <w:r>
        <w:rPr>
          <w:rFonts w:hint="eastAsia" w:ascii="仿宋_GB2312" w:hAnsi="宋体"/>
          <w:sz w:val="32"/>
          <w:szCs w:val="32"/>
        </w:rPr>
        <w:t>本办法所称绿色企业是指其经营活动有利于支持环境改善、适应或减缓气候变化和资源节约高效利用的企业。</w:t>
      </w:r>
    </w:p>
    <w:p>
      <w:pPr>
        <w:keepNext/>
        <w:keepLines/>
        <w:adjustRightInd w:val="0"/>
        <w:snapToGrid w:val="0"/>
        <w:spacing w:line="580" w:lineRule="exact"/>
        <w:ind w:firstLine="640" w:firstLineChars="200"/>
        <w:outlineLvl w:val="0"/>
        <w:rPr>
          <w:rFonts w:ascii="黑体" w:hAnsi="黑体" w:eastAsia="黑体"/>
          <w:bCs/>
          <w:kern w:val="44"/>
          <w:sz w:val="32"/>
          <w:szCs w:val="32"/>
        </w:rPr>
      </w:pPr>
      <w:bookmarkStart w:id="1" w:name="_Toc75783252"/>
      <w:bookmarkEnd w:id="1"/>
      <w:r>
        <w:rPr>
          <w:rFonts w:ascii="黑体" w:hAnsi="黑体" w:eastAsia="黑体"/>
          <w:bCs/>
          <w:kern w:val="44"/>
          <w:sz w:val="32"/>
          <w:szCs w:val="32"/>
        </w:rPr>
        <w:t xml:space="preserve"> </w:t>
      </w:r>
      <w:r>
        <w:rPr>
          <w:rFonts w:hint="eastAsia" w:ascii="黑体" w:hAnsi="黑体" w:eastAsia="黑体"/>
          <w:bCs/>
          <w:kern w:val="44"/>
          <w:sz w:val="32"/>
          <w:szCs w:val="32"/>
        </w:rPr>
        <w:t>二、参评条件</w:t>
      </w:r>
    </w:p>
    <w:p>
      <w:pPr>
        <w:keepNext/>
        <w:keepLines/>
        <w:spacing w:line="580" w:lineRule="exact"/>
        <w:ind w:firstLine="643"/>
        <w:jc w:val="left"/>
        <w:outlineLvl w:val="1"/>
        <w:rPr>
          <w:rFonts w:ascii="楷体_GB2312" w:eastAsia="楷体_GB2312"/>
          <w:b/>
          <w:bCs/>
          <w:sz w:val="32"/>
          <w:szCs w:val="32"/>
        </w:rPr>
      </w:pPr>
      <w:bookmarkStart w:id="2" w:name="_Toc75783253"/>
      <w:r>
        <w:rPr>
          <w:rFonts w:hint="eastAsia" w:ascii="楷体_GB2312" w:eastAsia="楷体_GB2312"/>
          <w:b/>
          <w:bCs/>
          <w:sz w:val="32"/>
          <w:szCs w:val="32"/>
        </w:rPr>
        <w:t>（一）准入条件</w:t>
      </w:r>
      <w:bookmarkEnd w:id="2"/>
      <w:bookmarkStart w:id="3" w:name="_Toc9515210"/>
      <w:bookmarkEnd w:id="3"/>
    </w:p>
    <w:p>
      <w:pPr>
        <w:spacing w:line="580" w:lineRule="exact"/>
        <w:ind w:firstLine="640" w:firstLineChars="200"/>
        <w:rPr>
          <w:rFonts w:ascii="仿宋_GB2312"/>
          <w:sz w:val="32"/>
          <w:szCs w:val="32"/>
        </w:rPr>
      </w:pPr>
      <w:r>
        <w:rPr>
          <w:rFonts w:ascii="仿宋_GB2312" w:hAnsi="宋体"/>
          <w:sz w:val="32"/>
          <w:szCs w:val="32"/>
        </w:rPr>
        <w:t>1.</w:t>
      </w:r>
      <w:r>
        <w:rPr>
          <w:rFonts w:hint="eastAsia" w:ascii="仿宋_GB2312" w:hAnsi="宋体"/>
          <w:sz w:val="32"/>
          <w:szCs w:val="32"/>
        </w:rPr>
        <w:t>企业、机构或组织依法设立且注册地、税务征管关系及统计关系在福建省南平市，证照齐全，存续期满两年，有健全财务制度、具有独立法人资格、实行独立核算；</w:t>
      </w:r>
      <w:r>
        <w:rPr>
          <w:rFonts w:ascii="仿宋_GB2312" w:hAnsi="宋体"/>
          <w:sz w:val="32"/>
          <w:szCs w:val="32"/>
        </w:rPr>
        <w:t xml:space="preserve"> </w:t>
      </w:r>
    </w:p>
    <w:p>
      <w:pPr>
        <w:spacing w:line="580" w:lineRule="exact"/>
        <w:ind w:firstLine="640" w:firstLineChars="200"/>
        <w:rPr>
          <w:rFonts w:ascii="仿宋_GB2312"/>
          <w:sz w:val="32"/>
          <w:szCs w:val="32"/>
        </w:rPr>
      </w:pPr>
      <w:r>
        <w:rPr>
          <w:rFonts w:ascii="仿宋_GB2312" w:hAnsi="宋体"/>
          <w:sz w:val="32"/>
          <w:szCs w:val="32"/>
        </w:rPr>
        <w:t>2.</w:t>
      </w:r>
      <w:r>
        <w:rPr>
          <w:rFonts w:hint="eastAsia" w:ascii="仿宋_GB2312" w:hAnsi="宋体"/>
          <w:sz w:val="32"/>
          <w:szCs w:val="32"/>
        </w:rPr>
        <w:t>近三年内无不良信用记录（不良信用记录主要包括信贷</w:t>
      </w:r>
      <w:r>
        <w:rPr>
          <w:rFonts w:ascii="仿宋_GB2312"/>
          <w:sz w:val="32"/>
          <w:szCs w:val="32"/>
        </w:rPr>
        <w:t>/</w:t>
      </w:r>
      <w:r>
        <w:rPr>
          <w:rFonts w:hint="eastAsia" w:ascii="仿宋_GB2312" w:hAnsi="宋体"/>
          <w:sz w:val="32"/>
          <w:szCs w:val="32"/>
        </w:rPr>
        <w:t>债券等逾期，担保的企业</w:t>
      </w:r>
      <w:r>
        <w:rPr>
          <w:rFonts w:ascii="仿宋_GB2312"/>
          <w:sz w:val="32"/>
          <w:szCs w:val="32"/>
        </w:rPr>
        <w:t>/</w:t>
      </w:r>
      <w:r>
        <w:rPr>
          <w:rFonts w:hint="eastAsia" w:ascii="仿宋_GB2312" w:hAnsi="宋体"/>
          <w:sz w:val="32"/>
          <w:szCs w:val="32"/>
        </w:rPr>
        <w:t>个人违约）；</w:t>
      </w:r>
    </w:p>
    <w:p>
      <w:pPr>
        <w:spacing w:line="580" w:lineRule="exact"/>
        <w:ind w:firstLine="640" w:firstLineChars="200"/>
        <w:rPr>
          <w:rFonts w:ascii="仿宋_GB2312"/>
          <w:sz w:val="32"/>
          <w:szCs w:val="32"/>
        </w:rPr>
      </w:pPr>
      <w:r>
        <w:rPr>
          <w:rFonts w:ascii="仿宋_GB2312" w:hAnsi="宋体"/>
          <w:sz w:val="32"/>
          <w:szCs w:val="32"/>
        </w:rPr>
        <w:t>3.</w:t>
      </w:r>
      <w:r>
        <w:rPr>
          <w:rFonts w:hint="eastAsia" w:ascii="仿宋_GB2312" w:hAnsi="宋体"/>
          <w:sz w:val="32"/>
          <w:szCs w:val="32"/>
        </w:rPr>
        <w:t>符合国家、福建省、南平市产业政策、环保政策和相关行业标准要求；</w:t>
      </w:r>
    </w:p>
    <w:p>
      <w:pPr>
        <w:spacing w:line="580" w:lineRule="exact"/>
        <w:ind w:firstLine="640" w:firstLineChars="200"/>
        <w:rPr>
          <w:rFonts w:ascii="仿宋_GB2312"/>
          <w:sz w:val="32"/>
          <w:szCs w:val="32"/>
        </w:rPr>
      </w:pPr>
      <w:r>
        <w:rPr>
          <w:rFonts w:ascii="仿宋_GB2312" w:hAnsi="宋体"/>
          <w:sz w:val="32"/>
          <w:szCs w:val="32"/>
        </w:rPr>
        <w:t>4.</w:t>
      </w:r>
      <w:r>
        <w:rPr>
          <w:rFonts w:hint="eastAsia" w:ascii="仿宋_GB2312" w:hAnsi="宋体"/>
          <w:sz w:val="32"/>
          <w:szCs w:val="32"/>
        </w:rPr>
        <w:t>未使用国家、福建省、南平市明令禁止或淘汰的生产工艺和装备；</w:t>
      </w:r>
    </w:p>
    <w:p>
      <w:pPr>
        <w:spacing w:line="580" w:lineRule="exact"/>
        <w:ind w:firstLine="640" w:firstLineChars="200"/>
        <w:rPr>
          <w:rFonts w:ascii="仿宋_GB2312"/>
          <w:sz w:val="32"/>
          <w:szCs w:val="32"/>
        </w:rPr>
      </w:pPr>
      <w:r>
        <w:rPr>
          <w:rFonts w:ascii="仿宋_GB2312" w:hAnsi="宋体"/>
          <w:sz w:val="32"/>
          <w:szCs w:val="32"/>
        </w:rPr>
        <w:t>5.</w:t>
      </w:r>
      <w:r>
        <w:rPr>
          <w:rFonts w:hint="eastAsia" w:ascii="仿宋_GB2312" w:hAnsi="宋体"/>
          <w:sz w:val="32"/>
          <w:szCs w:val="32"/>
        </w:rPr>
        <w:t>申请认定前三年内未发生重大安全、重大质量、重大环境事故或严重环境违法行为。</w:t>
      </w:r>
    </w:p>
    <w:p>
      <w:pPr>
        <w:keepNext/>
        <w:keepLines/>
        <w:spacing w:line="580" w:lineRule="exact"/>
        <w:ind w:firstLine="643"/>
        <w:jc w:val="left"/>
        <w:outlineLvl w:val="1"/>
        <w:rPr>
          <w:rFonts w:ascii="楷体_GB2312" w:eastAsia="楷体_GB2312"/>
          <w:b/>
          <w:bCs/>
          <w:sz w:val="32"/>
          <w:szCs w:val="32"/>
        </w:rPr>
      </w:pPr>
      <w:bookmarkStart w:id="4" w:name="_Toc75783254"/>
      <w:bookmarkEnd w:id="4"/>
      <w:r>
        <w:rPr>
          <w:rFonts w:hint="eastAsia" w:ascii="楷体_GB2312" w:eastAsia="楷体_GB2312"/>
          <w:b/>
          <w:bCs/>
          <w:sz w:val="32"/>
          <w:szCs w:val="32"/>
        </w:rPr>
        <w:t>（二）绿色企业直通车</w:t>
      </w:r>
    </w:p>
    <w:p>
      <w:pPr>
        <w:spacing w:line="580" w:lineRule="exact"/>
        <w:ind w:firstLine="640" w:firstLineChars="200"/>
        <w:rPr>
          <w:rFonts w:ascii="仿宋_GB2312"/>
          <w:sz w:val="32"/>
          <w:szCs w:val="32"/>
        </w:rPr>
      </w:pPr>
      <w:r>
        <w:rPr>
          <w:rFonts w:hint="eastAsia" w:ascii="仿宋_GB2312" w:hAnsi="宋体"/>
          <w:sz w:val="32"/>
          <w:szCs w:val="32"/>
        </w:rPr>
        <w:t>对于满足准入条件且具有</w:t>
      </w:r>
      <w:r>
        <w:rPr>
          <w:rFonts w:hint="eastAsia" w:ascii="仿宋_GB2312"/>
          <w:sz w:val="32"/>
          <w:szCs w:val="32"/>
        </w:rPr>
        <w:t>“</w:t>
      </w:r>
      <w:r>
        <w:rPr>
          <w:rFonts w:hint="eastAsia" w:ascii="仿宋_GB2312" w:hAnsi="宋体"/>
          <w:sz w:val="32"/>
          <w:szCs w:val="32"/>
        </w:rPr>
        <w:t>绿色焦点</w:t>
      </w:r>
      <w:r>
        <w:rPr>
          <w:rFonts w:hint="eastAsia" w:ascii="仿宋_GB2312"/>
          <w:sz w:val="32"/>
          <w:szCs w:val="32"/>
        </w:rPr>
        <w:t>”</w:t>
      </w:r>
      <w:r>
        <w:rPr>
          <w:rFonts w:hint="eastAsia" w:ascii="仿宋_GB2312" w:hAnsi="宋体"/>
          <w:sz w:val="32"/>
          <w:szCs w:val="32"/>
        </w:rPr>
        <w:t>的企业，或满足准入条件的</w:t>
      </w:r>
      <w:r>
        <w:rPr>
          <w:rFonts w:hint="eastAsia" w:ascii="仿宋_GB2312"/>
          <w:sz w:val="32"/>
          <w:szCs w:val="32"/>
        </w:rPr>
        <w:t>“碳汇经济企业”，可直接认证成为深绿企业。</w:t>
      </w:r>
      <w:r>
        <w:rPr>
          <w:rFonts w:ascii="仿宋_GB2312"/>
          <w:sz w:val="32"/>
          <w:szCs w:val="32"/>
        </w:rPr>
        <w:t xml:space="preserve">    </w:t>
      </w:r>
      <w:r>
        <w:rPr>
          <w:rFonts w:hint="eastAsia" w:ascii="仿宋_GB2312"/>
          <w:sz w:val="32"/>
          <w:szCs w:val="32"/>
        </w:rPr>
        <w:t>具体包括：</w:t>
      </w:r>
    </w:p>
    <w:p>
      <w:pPr>
        <w:spacing w:line="580" w:lineRule="exact"/>
        <w:ind w:firstLine="643" w:firstLineChars="200"/>
        <w:rPr>
          <w:rFonts w:ascii="仿宋_GB2312"/>
          <w:b/>
          <w:bCs/>
          <w:sz w:val="32"/>
          <w:szCs w:val="32"/>
        </w:rPr>
      </w:pPr>
      <w:bookmarkStart w:id="5" w:name="_Toc75783255"/>
      <w:bookmarkEnd w:id="5"/>
      <w:r>
        <w:rPr>
          <w:rFonts w:ascii="仿宋_GB2312"/>
          <w:b/>
          <w:bCs/>
          <w:sz w:val="32"/>
          <w:szCs w:val="32"/>
        </w:rPr>
        <w:t>1.</w:t>
      </w:r>
      <w:r>
        <w:rPr>
          <w:rFonts w:hint="eastAsia" w:ascii="仿宋_GB2312"/>
          <w:b/>
          <w:bCs/>
          <w:sz w:val="32"/>
          <w:szCs w:val="32"/>
        </w:rPr>
        <w:t>“绿色焦点”企业</w:t>
      </w:r>
    </w:p>
    <w:p>
      <w:pPr>
        <w:spacing w:line="580" w:lineRule="exact"/>
        <w:ind w:firstLine="672" w:firstLineChars="210"/>
        <w:rPr>
          <w:rFonts w:ascii="仿宋_GB2312"/>
          <w:sz w:val="32"/>
          <w:szCs w:val="32"/>
        </w:rPr>
      </w:pPr>
      <w:r>
        <w:rPr>
          <w:rFonts w:hint="eastAsia" w:ascii="仿宋_GB2312" w:hAnsi="宋体"/>
          <w:sz w:val="32"/>
          <w:szCs w:val="32"/>
        </w:rPr>
        <w:t>（</w:t>
      </w:r>
      <w:r>
        <w:rPr>
          <w:rFonts w:ascii="仿宋_GB2312" w:hAnsi="宋体"/>
          <w:sz w:val="32"/>
          <w:szCs w:val="32"/>
        </w:rPr>
        <w:t>1</w:t>
      </w:r>
      <w:r>
        <w:rPr>
          <w:rFonts w:hint="eastAsia" w:ascii="仿宋_GB2312" w:hAnsi="宋体"/>
          <w:sz w:val="32"/>
          <w:szCs w:val="32"/>
        </w:rPr>
        <w:t>）主营业务符合南平市地方产业政策绿色发展导向，且已获得南平市武夷山水品牌运营管理有限公司授权使用</w:t>
      </w:r>
      <w:r>
        <w:rPr>
          <w:rFonts w:hint="eastAsia" w:ascii="仿宋_GB2312"/>
          <w:sz w:val="32"/>
          <w:szCs w:val="32"/>
        </w:rPr>
        <w:t>“武夷山水”商标的生产主体</w:t>
      </w:r>
      <w:r>
        <w:rPr>
          <w:rFonts w:hint="eastAsia" w:ascii="仿宋_GB2312" w:hAnsi="宋体"/>
          <w:sz w:val="32"/>
          <w:szCs w:val="32"/>
        </w:rPr>
        <w:t>；</w:t>
      </w:r>
    </w:p>
    <w:p>
      <w:pPr>
        <w:spacing w:line="580" w:lineRule="exact"/>
        <w:ind w:firstLine="672" w:firstLineChars="210"/>
        <w:rPr>
          <w:rFonts w:ascii="仿宋_GB2312"/>
          <w:spacing w:val="-6"/>
          <w:sz w:val="32"/>
          <w:szCs w:val="32"/>
        </w:rPr>
      </w:pPr>
      <w:r>
        <w:rPr>
          <w:rFonts w:hint="eastAsia" w:ascii="仿宋_GB2312" w:hAnsi="宋体"/>
          <w:sz w:val="32"/>
          <w:szCs w:val="32"/>
        </w:rPr>
        <w:t>（</w:t>
      </w:r>
      <w:r>
        <w:rPr>
          <w:rFonts w:ascii="仿宋_GB2312" w:hAnsi="宋体"/>
          <w:sz w:val="32"/>
          <w:szCs w:val="32"/>
        </w:rPr>
        <w:t>2</w:t>
      </w:r>
      <w:r>
        <w:rPr>
          <w:rFonts w:hint="eastAsia" w:ascii="仿宋_GB2312" w:hAnsi="宋体"/>
          <w:sz w:val="32"/>
          <w:szCs w:val="32"/>
        </w:rPr>
        <w:t>）</w:t>
      </w:r>
      <w:r>
        <w:rPr>
          <w:rFonts w:hint="eastAsia" w:ascii="仿宋_GB2312" w:hAnsi="宋体"/>
          <w:spacing w:val="-6"/>
          <w:sz w:val="32"/>
          <w:szCs w:val="32"/>
        </w:rPr>
        <w:t>最近一年合并财务报表中，为</w:t>
      </w:r>
      <w:r>
        <w:rPr>
          <w:rFonts w:hint="eastAsia" w:ascii="仿宋_GB2312"/>
          <w:spacing w:val="-6"/>
          <w:sz w:val="32"/>
          <w:szCs w:val="32"/>
        </w:rPr>
        <w:t>“武夷山水”、“绿色食品”等绿色品牌提供认证服务的营业收入或营业利润或成本占总收入或总营业利润或总成本的比重大于50%</w:t>
      </w:r>
      <w:r>
        <w:rPr>
          <w:rFonts w:hint="eastAsia" w:ascii="仿宋_GB2312" w:hAnsi="宋体"/>
          <w:spacing w:val="-6"/>
          <w:sz w:val="32"/>
          <w:szCs w:val="32"/>
        </w:rPr>
        <w:t>（含）的认证服务企业；</w:t>
      </w:r>
    </w:p>
    <w:p>
      <w:pPr>
        <w:spacing w:line="580" w:lineRule="exact"/>
        <w:ind w:firstLine="672" w:firstLineChars="210"/>
        <w:rPr>
          <w:rFonts w:ascii="仿宋_GB2312"/>
          <w:sz w:val="32"/>
          <w:szCs w:val="32"/>
        </w:rPr>
      </w:pPr>
      <w:r>
        <w:rPr>
          <w:rFonts w:hint="eastAsia" w:ascii="仿宋_GB2312" w:hAnsi="宋体"/>
          <w:sz w:val="32"/>
          <w:szCs w:val="32"/>
        </w:rPr>
        <w:t>（</w:t>
      </w:r>
      <w:r>
        <w:rPr>
          <w:rFonts w:ascii="仿宋_GB2312" w:hAnsi="宋体"/>
          <w:sz w:val="32"/>
          <w:szCs w:val="32"/>
        </w:rPr>
        <w:t>3</w:t>
      </w:r>
      <w:r>
        <w:rPr>
          <w:rFonts w:hint="eastAsia" w:ascii="仿宋_GB2312" w:hAnsi="宋体"/>
          <w:sz w:val="32"/>
          <w:szCs w:val="32"/>
        </w:rPr>
        <w:t>）围绕林业、竹业生态资源开发领域，由市级及县（市、区）政府主导设立的</w:t>
      </w:r>
      <w:r>
        <w:rPr>
          <w:rFonts w:hint="eastAsia" w:ascii="仿宋_GB2312"/>
          <w:sz w:val="32"/>
          <w:szCs w:val="32"/>
        </w:rPr>
        <w:t>“生态银行”运营企业；</w:t>
      </w:r>
    </w:p>
    <w:p>
      <w:pPr>
        <w:spacing w:line="580" w:lineRule="exact"/>
        <w:ind w:firstLine="672" w:firstLineChars="210"/>
        <w:rPr>
          <w:rFonts w:ascii="仿宋_GB2312"/>
          <w:spacing w:val="-6"/>
          <w:sz w:val="32"/>
          <w:szCs w:val="32"/>
        </w:rPr>
      </w:pPr>
      <w:r>
        <w:rPr>
          <w:rFonts w:hint="eastAsia" w:ascii="仿宋_GB2312" w:hAnsi="宋体"/>
          <w:sz w:val="32"/>
          <w:szCs w:val="32"/>
        </w:rPr>
        <w:t>（</w:t>
      </w:r>
      <w:r>
        <w:rPr>
          <w:rFonts w:ascii="仿宋_GB2312" w:hAnsi="宋体"/>
          <w:sz w:val="32"/>
          <w:szCs w:val="32"/>
        </w:rPr>
        <w:t>4</w:t>
      </w:r>
      <w:r>
        <w:rPr>
          <w:rFonts w:hint="eastAsia" w:ascii="仿宋_GB2312" w:hAnsi="宋体"/>
          <w:sz w:val="32"/>
          <w:szCs w:val="32"/>
        </w:rPr>
        <w:t>）</w:t>
      </w:r>
      <w:r>
        <w:rPr>
          <w:rFonts w:hint="eastAsia" w:ascii="仿宋_GB2312" w:hAnsi="宋体"/>
          <w:spacing w:val="-6"/>
          <w:sz w:val="32"/>
          <w:szCs w:val="32"/>
        </w:rPr>
        <w:t>具有国家工信部或福建省工信厅认证的绿色工厂的企业；</w:t>
      </w:r>
    </w:p>
    <w:p>
      <w:pPr>
        <w:spacing w:line="580" w:lineRule="exact"/>
        <w:ind w:firstLine="672" w:firstLineChars="210"/>
        <w:rPr>
          <w:rFonts w:ascii="仿宋_GB2312"/>
          <w:sz w:val="32"/>
          <w:szCs w:val="32"/>
        </w:rPr>
      </w:pPr>
      <w:r>
        <w:rPr>
          <w:rFonts w:hint="eastAsia" w:ascii="仿宋_GB2312" w:hAnsi="宋体"/>
          <w:sz w:val="32"/>
          <w:szCs w:val="32"/>
        </w:rPr>
        <w:t>（</w:t>
      </w:r>
      <w:r>
        <w:rPr>
          <w:rFonts w:ascii="仿宋_GB2312" w:hAnsi="宋体"/>
          <w:sz w:val="32"/>
          <w:szCs w:val="32"/>
        </w:rPr>
        <w:t>5</w:t>
      </w:r>
      <w:r>
        <w:rPr>
          <w:rFonts w:hint="eastAsia" w:ascii="仿宋_GB2312" w:hAnsi="宋体"/>
          <w:sz w:val="32"/>
          <w:szCs w:val="32"/>
        </w:rPr>
        <w:t>）获得国家工信部或福建省工信厅认证的绿色供应链管理企业。</w:t>
      </w:r>
    </w:p>
    <w:p>
      <w:pPr>
        <w:keepNext/>
        <w:keepLines/>
        <w:spacing w:line="580" w:lineRule="exact"/>
        <w:ind w:firstLine="681" w:firstLineChars="212"/>
        <w:jc w:val="left"/>
        <w:outlineLvl w:val="1"/>
        <w:rPr>
          <w:rFonts w:ascii="仿宋_GB2312"/>
          <w:b/>
          <w:bCs/>
          <w:sz w:val="32"/>
          <w:szCs w:val="32"/>
        </w:rPr>
      </w:pPr>
      <w:bookmarkStart w:id="6" w:name="_Toc75783256"/>
      <w:bookmarkEnd w:id="6"/>
      <w:r>
        <w:rPr>
          <w:rFonts w:ascii="仿宋_GB2312"/>
          <w:b/>
          <w:bCs/>
          <w:sz w:val="32"/>
          <w:szCs w:val="32"/>
        </w:rPr>
        <w:t>2.</w:t>
      </w:r>
      <w:r>
        <w:rPr>
          <w:rFonts w:hint="eastAsia" w:ascii="仿宋_GB2312"/>
          <w:b/>
          <w:bCs/>
          <w:sz w:val="32"/>
          <w:szCs w:val="32"/>
        </w:rPr>
        <w:t>“碳汇经济”企业</w:t>
      </w:r>
    </w:p>
    <w:p>
      <w:pPr>
        <w:spacing w:line="580" w:lineRule="exact"/>
        <w:ind w:firstLine="672" w:firstLineChars="210"/>
        <w:rPr>
          <w:rFonts w:ascii="仿宋_GB2312"/>
          <w:sz w:val="32"/>
          <w:szCs w:val="32"/>
        </w:rPr>
      </w:pPr>
      <w:r>
        <w:rPr>
          <w:rFonts w:hint="eastAsia" w:ascii="仿宋_GB2312" w:hAnsi="宋体"/>
          <w:sz w:val="32"/>
          <w:szCs w:val="32"/>
        </w:rPr>
        <w:t>（</w:t>
      </w:r>
      <w:r>
        <w:rPr>
          <w:rFonts w:ascii="仿宋_GB2312" w:hAnsi="宋体"/>
          <w:sz w:val="32"/>
          <w:szCs w:val="32"/>
        </w:rPr>
        <w:t>1</w:t>
      </w:r>
      <w:r>
        <w:rPr>
          <w:rFonts w:hint="eastAsia" w:ascii="仿宋_GB2312" w:hAnsi="宋体"/>
          <w:sz w:val="32"/>
          <w:szCs w:val="32"/>
        </w:rPr>
        <w:t>）已经成功开发国际核证碳减排标准（</w:t>
      </w:r>
      <w:r>
        <w:rPr>
          <w:rFonts w:ascii="仿宋_GB2312"/>
          <w:sz w:val="32"/>
          <w:szCs w:val="32"/>
        </w:rPr>
        <w:t>VCS</w:t>
      </w:r>
      <w:r>
        <w:rPr>
          <w:rFonts w:hint="eastAsia" w:ascii="仿宋_GB2312" w:hAnsi="宋体"/>
          <w:sz w:val="32"/>
          <w:szCs w:val="32"/>
        </w:rPr>
        <w:t>）林业碳汇项目、国家核证减排量（</w:t>
      </w:r>
      <w:r>
        <w:rPr>
          <w:rFonts w:ascii="仿宋_GB2312"/>
          <w:sz w:val="32"/>
          <w:szCs w:val="32"/>
        </w:rPr>
        <w:t>CCER</w:t>
      </w:r>
      <w:r>
        <w:rPr>
          <w:rFonts w:hint="eastAsia" w:ascii="仿宋_GB2312" w:hAnsi="宋体"/>
          <w:sz w:val="32"/>
          <w:szCs w:val="32"/>
        </w:rPr>
        <w:t>）、福建林业碳汇（</w:t>
      </w:r>
      <w:r>
        <w:rPr>
          <w:rFonts w:ascii="仿宋_GB2312"/>
          <w:sz w:val="32"/>
          <w:szCs w:val="32"/>
        </w:rPr>
        <w:t>FFCER</w:t>
      </w:r>
      <w:r>
        <w:rPr>
          <w:rFonts w:hint="eastAsia" w:ascii="仿宋_GB2312" w:hAnsi="宋体"/>
          <w:sz w:val="32"/>
          <w:szCs w:val="32"/>
        </w:rPr>
        <w:t>）交易产品的企业；</w:t>
      </w:r>
    </w:p>
    <w:p>
      <w:pPr>
        <w:spacing w:line="580" w:lineRule="exact"/>
        <w:ind w:firstLine="640" w:firstLineChars="200"/>
        <w:rPr>
          <w:rFonts w:ascii="仿宋_GB2312"/>
          <w:sz w:val="32"/>
          <w:szCs w:val="32"/>
        </w:rPr>
      </w:pPr>
      <w:r>
        <w:rPr>
          <w:rFonts w:hint="eastAsia" w:ascii="仿宋_GB2312" w:hAnsi="宋体"/>
          <w:sz w:val="32"/>
          <w:szCs w:val="32"/>
        </w:rPr>
        <w:t>（</w:t>
      </w:r>
      <w:r>
        <w:rPr>
          <w:rFonts w:ascii="仿宋_GB2312" w:hAnsi="宋体"/>
          <w:sz w:val="32"/>
          <w:szCs w:val="32"/>
        </w:rPr>
        <w:t>2</w:t>
      </w:r>
      <w:r>
        <w:rPr>
          <w:rFonts w:hint="eastAsia" w:ascii="仿宋_GB2312" w:hAnsi="宋体"/>
          <w:sz w:val="32"/>
          <w:szCs w:val="32"/>
        </w:rPr>
        <w:t>）经国家林草局等四部委评定的全国森林康养基地、中国林学会森林疗养分会认定的森林疗养基地、福建省林业局等五部门评定的福建省森林康养基地的运营企业；</w:t>
      </w:r>
    </w:p>
    <w:p>
      <w:pPr>
        <w:spacing w:line="580" w:lineRule="exact"/>
        <w:ind w:firstLine="672" w:firstLineChars="210"/>
        <w:rPr>
          <w:rFonts w:ascii="仿宋_GB2312"/>
          <w:sz w:val="32"/>
          <w:szCs w:val="32"/>
        </w:rPr>
      </w:pPr>
      <w:r>
        <w:rPr>
          <w:rFonts w:hint="eastAsia" w:ascii="仿宋_GB2312" w:hAnsi="宋体"/>
          <w:sz w:val="32"/>
          <w:szCs w:val="32"/>
        </w:rPr>
        <w:t>（</w:t>
      </w:r>
      <w:r>
        <w:rPr>
          <w:rFonts w:ascii="仿宋_GB2312" w:hAnsi="宋体"/>
          <w:sz w:val="32"/>
          <w:szCs w:val="32"/>
        </w:rPr>
        <w:t>3</w:t>
      </w:r>
      <w:r>
        <w:rPr>
          <w:rFonts w:hint="eastAsia" w:ascii="仿宋_GB2312" w:hAnsi="宋体"/>
          <w:sz w:val="32"/>
          <w:szCs w:val="32"/>
        </w:rPr>
        <w:t>）最近一年合并财务报表中碳汇相关产业领域营业收入或营业利润或成本占总收入</w:t>
      </w:r>
      <w:bookmarkStart w:id="22" w:name="_GoBack"/>
      <w:bookmarkEnd w:id="22"/>
      <w:r>
        <w:rPr>
          <w:rFonts w:hint="eastAsia" w:ascii="仿宋_GB2312" w:hAnsi="宋体"/>
          <w:sz w:val="32"/>
          <w:szCs w:val="32"/>
        </w:rPr>
        <w:t>或总营业利润或总成本的比重大于</w:t>
      </w:r>
      <w:r>
        <w:rPr>
          <w:rFonts w:ascii="仿宋_GB2312"/>
          <w:sz w:val="32"/>
          <w:szCs w:val="32"/>
        </w:rPr>
        <w:t>50%</w:t>
      </w:r>
      <w:r>
        <w:rPr>
          <w:rFonts w:hint="eastAsia" w:ascii="仿宋_GB2312" w:hAnsi="宋体"/>
          <w:sz w:val="32"/>
          <w:szCs w:val="32"/>
        </w:rPr>
        <w:t>（含）的企业。</w:t>
      </w:r>
    </w:p>
    <w:p>
      <w:pPr>
        <w:keepNext/>
        <w:keepLines/>
        <w:adjustRightInd w:val="0"/>
        <w:snapToGrid w:val="0"/>
        <w:spacing w:line="580" w:lineRule="exact"/>
        <w:ind w:firstLine="640" w:firstLineChars="200"/>
        <w:outlineLvl w:val="0"/>
        <w:rPr>
          <w:rFonts w:ascii="黑体" w:hAnsi="黑体" w:eastAsia="黑体"/>
          <w:bCs/>
          <w:kern w:val="44"/>
          <w:sz w:val="32"/>
          <w:szCs w:val="32"/>
        </w:rPr>
      </w:pPr>
      <w:r>
        <w:rPr>
          <w:rFonts w:hint="eastAsia" w:ascii="黑体" w:hAnsi="黑体" w:eastAsia="黑体"/>
          <w:bCs/>
          <w:kern w:val="44"/>
          <w:sz w:val="32"/>
          <w:szCs w:val="32"/>
        </w:rPr>
        <w:t>三.</w:t>
      </w:r>
      <w:r>
        <w:rPr>
          <w:rFonts w:ascii="黑体" w:hAnsi="黑体" w:eastAsia="黑体"/>
          <w:bCs/>
          <w:kern w:val="44"/>
          <w:sz w:val="32"/>
          <w:szCs w:val="32"/>
        </w:rPr>
        <w:t xml:space="preserve"> </w:t>
      </w:r>
      <w:r>
        <w:rPr>
          <w:rFonts w:hint="eastAsia" w:ascii="黑体" w:hAnsi="黑体" w:eastAsia="黑体"/>
          <w:bCs/>
          <w:kern w:val="44"/>
          <w:sz w:val="32"/>
          <w:szCs w:val="32"/>
        </w:rPr>
        <w:t>各方责任</w:t>
      </w:r>
    </w:p>
    <w:p>
      <w:pPr>
        <w:keepNext/>
        <w:keepLines/>
        <w:spacing w:line="580" w:lineRule="exact"/>
        <w:ind w:firstLine="643" w:firstLineChars="200"/>
        <w:jc w:val="left"/>
        <w:outlineLvl w:val="1"/>
        <w:rPr>
          <w:rFonts w:ascii="仿宋_GB2312"/>
          <w:b/>
          <w:bCs/>
          <w:sz w:val="32"/>
          <w:szCs w:val="32"/>
        </w:rPr>
      </w:pPr>
      <w:bookmarkStart w:id="7" w:name="_Toc75783263"/>
      <w:bookmarkEnd w:id="7"/>
      <w:r>
        <w:rPr>
          <w:rFonts w:hint="eastAsia" w:ascii="楷体_GB2312" w:eastAsia="楷体_GB2312"/>
          <w:b/>
          <w:bCs/>
          <w:sz w:val="32"/>
          <w:szCs w:val="32"/>
        </w:rPr>
        <w:t>（一）南平市地方金融监督管理局</w:t>
      </w:r>
    </w:p>
    <w:p>
      <w:pPr>
        <w:spacing w:line="540" w:lineRule="exact"/>
        <w:ind w:firstLine="640" w:firstLineChars="200"/>
        <w:rPr>
          <w:rFonts w:ascii="仿宋_GB2312"/>
          <w:sz w:val="32"/>
          <w:szCs w:val="32"/>
        </w:rPr>
      </w:pPr>
      <w:r>
        <w:rPr>
          <w:rFonts w:ascii="仿宋_GB2312" w:hAnsi="宋体"/>
          <w:sz w:val="32"/>
          <w:szCs w:val="32"/>
        </w:rPr>
        <w:t>1.</w:t>
      </w:r>
      <w:r>
        <w:rPr>
          <w:rFonts w:hint="eastAsia" w:ascii="仿宋_GB2312" w:hAnsi="宋体"/>
          <w:sz w:val="32"/>
          <w:szCs w:val="32"/>
        </w:rPr>
        <w:t>负责监督管理全市的绿色企业评定工作，发布绿色企业评定标准，制定相关管理办法；</w:t>
      </w:r>
    </w:p>
    <w:p>
      <w:pPr>
        <w:spacing w:line="540" w:lineRule="exact"/>
        <w:ind w:firstLine="640" w:firstLineChars="200"/>
        <w:rPr>
          <w:rFonts w:ascii="仿宋_GB2312"/>
          <w:spacing w:val="-20"/>
          <w:sz w:val="32"/>
          <w:szCs w:val="32"/>
        </w:rPr>
      </w:pPr>
      <w:r>
        <w:rPr>
          <w:rFonts w:ascii="仿宋_GB2312" w:hAnsi="宋体"/>
          <w:sz w:val="32"/>
          <w:szCs w:val="32"/>
        </w:rPr>
        <w:t>2.</w:t>
      </w:r>
      <w:r>
        <w:rPr>
          <w:rFonts w:hint="eastAsia" w:ascii="仿宋_GB2312" w:hAnsi="宋体"/>
          <w:spacing w:val="-20"/>
          <w:sz w:val="32"/>
          <w:szCs w:val="32"/>
        </w:rPr>
        <w:t>负责组织辖区内金融机构进行绿色企业申报前的培训；</w:t>
      </w:r>
    </w:p>
    <w:p>
      <w:pPr>
        <w:spacing w:line="540" w:lineRule="exact"/>
        <w:ind w:firstLine="672" w:firstLineChars="210"/>
        <w:rPr>
          <w:rFonts w:ascii="仿宋_GB2312"/>
          <w:sz w:val="32"/>
          <w:szCs w:val="32"/>
        </w:rPr>
      </w:pPr>
      <w:r>
        <w:rPr>
          <w:rFonts w:ascii="仿宋_GB2312" w:hAnsi="宋体"/>
          <w:sz w:val="32"/>
          <w:szCs w:val="32"/>
        </w:rPr>
        <w:t>3.</w:t>
      </w:r>
      <w:r>
        <w:rPr>
          <w:rFonts w:hint="eastAsia" w:ascii="仿宋_GB2312" w:hAnsi="宋体"/>
          <w:sz w:val="32"/>
          <w:szCs w:val="32"/>
        </w:rPr>
        <w:t>负责聘请独立第三方机构，开展绿色企业的评价认定工作；</w:t>
      </w:r>
    </w:p>
    <w:p>
      <w:pPr>
        <w:spacing w:line="540" w:lineRule="exact"/>
        <w:ind w:firstLine="672" w:firstLineChars="210"/>
        <w:rPr>
          <w:rFonts w:ascii="仿宋_GB2312"/>
          <w:sz w:val="32"/>
          <w:szCs w:val="32"/>
        </w:rPr>
      </w:pPr>
      <w:r>
        <w:rPr>
          <w:rFonts w:ascii="仿宋_GB2312" w:hAnsi="宋体"/>
          <w:sz w:val="32"/>
          <w:szCs w:val="32"/>
        </w:rPr>
        <w:t>4.</w:t>
      </w:r>
      <w:r>
        <w:rPr>
          <w:rFonts w:hint="eastAsia" w:ascii="仿宋_GB2312" w:hAnsi="宋体"/>
          <w:sz w:val="32"/>
          <w:szCs w:val="32"/>
        </w:rPr>
        <w:t>负责对申报企业评审工作档案进行管理，并受理查询事务；</w:t>
      </w:r>
    </w:p>
    <w:p>
      <w:pPr>
        <w:spacing w:line="540" w:lineRule="exact"/>
        <w:ind w:firstLine="672" w:firstLineChars="210"/>
        <w:rPr>
          <w:rFonts w:ascii="仿宋_GB2312"/>
          <w:sz w:val="32"/>
          <w:szCs w:val="32"/>
        </w:rPr>
      </w:pPr>
      <w:r>
        <w:rPr>
          <w:rFonts w:ascii="仿宋_GB2312" w:hAnsi="宋体"/>
          <w:sz w:val="32"/>
          <w:szCs w:val="32"/>
        </w:rPr>
        <w:t>5.</w:t>
      </w:r>
      <w:r>
        <w:rPr>
          <w:rFonts w:hint="eastAsia" w:ascii="仿宋_GB2312" w:hAnsi="宋体"/>
          <w:sz w:val="32"/>
          <w:szCs w:val="32"/>
        </w:rPr>
        <w:t>负责及时公布绿色企业评价认定结果；</w:t>
      </w:r>
    </w:p>
    <w:p>
      <w:pPr>
        <w:spacing w:line="540" w:lineRule="exact"/>
        <w:ind w:firstLine="672" w:firstLineChars="210"/>
        <w:rPr>
          <w:rFonts w:ascii="仿宋_GB2312"/>
          <w:sz w:val="32"/>
          <w:szCs w:val="32"/>
        </w:rPr>
      </w:pPr>
      <w:r>
        <w:rPr>
          <w:rFonts w:ascii="仿宋_GB2312" w:hAnsi="宋体"/>
          <w:sz w:val="32"/>
          <w:szCs w:val="32"/>
        </w:rPr>
        <w:t>6.</w:t>
      </w:r>
      <w:r>
        <w:rPr>
          <w:rFonts w:hint="eastAsia" w:ascii="仿宋_GB2312" w:hAnsi="宋体"/>
          <w:sz w:val="32"/>
          <w:szCs w:val="32"/>
        </w:rPr>
        <w:t>负责绿色企业认定的日常管理工作；</w:t>
      </w:r>
    </w:p>
    <w:p>
      <w:pPr>
        <w:spacing w:line="540" w:lineRule="exact"/>
        <w:ind w:firstLine="672" w:firstLineChars="210"/>
        <w:rPr>
          <w:rFonts w:ascii="仿宋_GB2312"/>
          <w:sz w:val="32"/>
          <w:szCs w:val="32"/>
        </w:rPr>
      </w:pPr>
      <w:r>
        <w:rPr>
          <w:rFonts w:ascii="仿宋_GB2312" w:hAnsi="宋体"/>
          <w:sz w:val="32"/>
          <w:szCs w:val="32"/>
        </w:rPr>
        <w:t>7.</w:t>
      </w:r>
      <w:r>
        <w:rPr>
          <w:rFonts w:hint="eastAsia" w:ascii="仿宋_GB2312" w:hAnsi="宋体"/>
          <w:sz w:val="32"/>
          <w:szCs w:val="32"/>
        </w:rPr>
        <w:t>其他相关事由。</w:t>
      </w:r>
    </w:p>
    <w:p>
      <w:pPr>
        <w:keepNext/>
        <w:keepLines/>
        <w:spacing w:line="580" w:lineRule="exact"/>
        <w:ind w:firstLine="643"/>
        <w:jc w:val="left"/>
        <w:outlineLvl w:val="1"/>
        <w:rPr>
          <w:rFonts w:ascii="楷体_GB2312" w:eastAsia="楷体_GB2312"/>
          <w:b/>
          <w:bCs/>
          <w:sz w:val="32"/>
          <w:szCs w:val="32"/>
        </w:rPr>
      </w:pPr>
      <w:bookmarkStart w:id="8" w:name="_Toc75783264"/>
      <w:bookmarkEnd w:id="8"/>
      <w:r>
        <w:rPr>
          <w:rFonts w:hint="eastAsia" w:ascii="楷体_GB2312" w:eastAsia="楷体_GB2312"/>
          <w:b/>
          <w:bCs/>
          <w:sz w:val="32"/>
          <w:szCs w:val="32"/>
        </w:rPr>
        <w:t>（二）独立第三方机构</w:t>
      </w:r>
    </w:p>
    <w:p>
      <w:pPr>
        <w:spacing w:line="540" w:lineRule="exact"/>
        <w:ind w:firstLine="672" w:firstLineChars="210"/>
        <w:rPr>
          <w:rFonts w:ascii="仿宋_GB2312"/>
          <w:sz w:val="32"/>
          <w:szCs w:val="32"/>
        </w:rPr>
      </w:pPr>
      <w:r>
        <w:rPr>
          <w:rFonts w:hint="eastAsia" w:ascii="仿宋_GB2312" w:hAnsi="宋体"/>
          <w:sz w:val="32"/>
          <w:szCs w:val="32"/>
        </w:rPr>
        <w:t>（</w:t>
      </w:r>
      <w:r>
        <w:rPr>
          <w:rFonts w:ascii="仿宋_GB2312"/>
          <w:sz w:val="32"/>
          <w:szCs w:val="32"/>
        </w:rPr>
        <w:t>1</w:t>
      </w:r>
      <w:r>
        <w:rPr>
          <w:rFonts w:hint="eastAsia" w:ascii="仿宋_GB2312" w:hAnsi="宋体"/>
          <w:sz w:val="32"/>
          <w:szCs w:val="32"/>
        </w:rPr>
        <w:t>）协助开展对辖区内金融机构及企业的申报培训；</w:t>
      </w:r>
      <w:r>
        <w:rPr>
          <w:rFonts w:ascii="仿宋_GB2312" w:hAnsi="宋体"/>
          <w:sz w:val="32"/>
          <w:szCs w:val="32"/>
        </w:rPr>
        <w:t xml:space="preserve"> </w:t>
      </w:r>
    </w:p>
    <w:p>
      <w:pPr>
        <w:spacing w:line="540" w:lineRule="exact"/>
        <w:ind w:firstLine="672" w:firstLineChars="210"/>
        <w:rPr>
          <w:rFonts w:ascii="仿宋_GB2312"/>
          <w:spacing w:val="-10"/>
          <w:sz w:val="32"/>
          <w:szCs w:val="32"/>
        </w:rPr>
      </w:pPr>
      <w:r>
        <w:rPr>
          <w:rFonts w:hint="eastAsia" w:ascii="仿宋_GB2312" w:hAnsi="宋体"/>
          <w:sz w:val="32"/>
          <w:szCs w:val="32"/>
        </w:rPr>
        <w:t>（</w:t>
      </w:r>
      <w:r>
        <w:rPr>
          <w:rFonts w:ascii="仿宋_GB2312"/>
          <w:sz w:val="32"/>
          <w:szCs w:val="32"/>
        </w:rPr>
        <w:t>2</w:t>
      </w:r>
      <w:r>
        <w:rPr>
          <w:rFonts w:hint="eastAsia" w:ascii="仿宋_GB2312" w:hAnsi="宋体"/>
          <w:sz w:val="32"/>
          <w:szCs w:val="32"/>
        </w:rPr>
        <w:t>）</w:t>
      </w:r>
      <w:r>
        <w:rPr>
          <w:rFonts w:hint="eastAsia" w:ascii="仿宋_GB2312" w:hAnsi="宋体"/>
          <w:spacing w:val="-10"/>
          <w:sz w:val="32"/>
          <w:szCs w:val="32"/>
        </w:rPr>
        <w:t>负责绿色企业评价认定工作，并对评价认定结果负责。</w:t>
      </w:r>
    </w:p>
    <w:p>
      <w:pPr>
        <w:keepNext/>
        <w:keepLines/>
        <w:spacing w:line="580" w:lineRule="exact"/>
        <w:ind w:firstLine="643"/>
        <w:jc w:val="left"/>
        <w:outlineLvl w:val="1"/>
        <w:rPr>
          <w:rFonts w:ascii="楷体_GB2312" w:eastAsia="楷体_GB2312"/>
          <w:b/>
          <w:bCs/>
          <w:sz w:val="32"/>
          <w:szCs w:val="32"/>
        </w:rPr>
      </w:pPr>
      <w:bookmarkStart w:id="9" w:name="_Toc75783265"/>
      <w:bookmarkEnd w:id="9"/>
      <w:r>
        <w:rPr>
          <w:rFonts w:hint="eastAsia" w:ascii="楷体_GB2312" w:eastAsia="楷体_GB2312"/>
          <w:b/>
          <w:bCs/>
          <w:sz w:val="32"/>
          <w:szCs w:val="32"/>
        </w:rPr>
        <w:t>（三）参评企业</w:t>
      </w:r>
    </w:p>
    <w:p>
      <w:pPr>
        <w:spacing w:line="540" w:lineRule="exact"/>
        <w:ind w:firstLine="672" w:firstLineChars="210"/>
        <w:rPr>
          <w:rFonts w:ascii="仿宋_GB2312"/>
          <w:sz w:val="32"/>
          <w:szCs w:val="32"/>
        </w:rPr>
      </w:pPr>
      <w:r>
        <w:rPr>
          <w:rFonts w:ascii="仿宋_GB2312" w:hAnsi="宋体"/>
          <w:sz w:val="32"/>
          <w:szCs w:val="32"/>
        </w:rPr>
        <w:t>1.</w:t>
      </w:r>
      <w:r>
        <w:rPr>
          <w:rFonts w:hint="eastAsia" w:ascii="仿宋_GB2312" w:hAnsi="宋体"/>
          <w:sz w:val="32"/>
          <w:szCs w:val="32"/>
        </w:rPr>
        <w:t>按照相关要求，在辖区内金融机构的指导下及时、准确通过“福建省金融服务云平台</w:t>
      </w:r>
      <w:r>
        <w:rPr>
          <w:rFonts w:ascii="仿宋_GB2312"/>
          <w:sz w:val="32"/>
          <w:szCs w:val="32"/>
        </w:rPr>
        <w:t>-</w:t>
      </w:r>
      <w:r>
        <w:rPr>
          <w:rFonts w:hint="eastAsia" w:ascii="仿宋_GB2312" w:hAnsi="宋体"/>
          <w:sz w:val="32"/>
          <w:szCs w:val="32"/>
        </w:rPr>
        <w:t>南平专区</w:t>
      </w:r>
      <w:r>
        <w:rPr>
          <w:rFonts w:hint="eastAsia" w:ascii="仿宋_GB2312"/>
          <w:sz w:val="32"/>
          <w:szCs w:val="32"/>
        </w:rPr>
        <w:t>”提交相关资料，并对资料的真实性负责；</w:t>
      </w:r>
    </w:p>
    <w:p>
      <w:pPr>
        <w:spacing w:line="540" w:lineRule="exact"/>
        <w:ind w:firstLine="672" w:firstLineChars="210"/>
        <w:rPr>
          <w:rFonts w:ascii="仿宋_GB2312"/>
          <w:sz w:val="32"/>
          <w:szCs w:val="32"/>
        </w:rPr>
      </w:pPr>
      <w:r>
        <w:rPr>
          <w:rFonts w:ascii="仿宋_GB2312" w:hAnsi="宋体"/>
          <w:sz w:val="32"/>
          <w:szCs w:val="32"/>
        </w:rPr>
        <w:t>2.</w:t>
      </w:r>
      <w:r>
        <w:rPr>
          <w:rFonts w:hint="eastAsia" w:ascii="仿宋_GB2312" w:hAnsi="宋体"/>
          <w:sz w:val="32"/>
          <w:szCs w:val="32"/>
        </w:rPr>
        <w:t>接受南平市地方金融监督管理局的指导，对不符合本认定办法的事项及时进行上报。</w:t>
      </w:r>
    </w:p>
    <w:p>
      <w:pPr>
        <w:keepNext/>
        <w:keepLines/>
        <w:adjustRightInd w:val="0"/>
        <w:snapToGrid w:val="0"/>
        <w:spacing w:line="540" w:lineRule="exact"/>
        <w:ind w:firstLine="672" w:firstLineChars="210"/>
        <w:outlineLvl w:val="0"/>
        <w:rPr>
          <w:rFonts w:ascii="黑体" w:hAnsi="黑体" w:eastAsia="黑体"/>
          <w:bCs/>
          <w:kern w:val="44"/>
          <w:sz w:val="32"/>
          <w:szCs w:val="32"/>
        </w:rPr>
      </w:pPr>
      <w:bookmarkStart w:id="10" w:name="_Toc75783266"/>
      <w:bookmarkEnd w:id="10"/>
      <w:r>
        <w:rPr>
          <w:rFonts w:hint="eastAsia" w:ascii="黑体" w:hAnsi="黑体" w:eastAsia="黑体"/>
          <w:bCs/>
          <w:kern w:val="44"/>
          <w:sz w:val="32"/>
          <w:szCs w:val="32"/>
        </w:rPr>
        <w:t>四.</w:t>
      </w:r>
      <w:r>
        <w:rPr>
          <w:rFonts w:ascii="黑体" w:hAnsi="黑体" w:eastAsia="黑体"/>
          <w:bCs/>
          <w:kern w:val="44"/>
          <w:sz w:val="32"/>
          <w:szCs w:val="32"/>
        </w:rPr>
        <w:t xml:space="preserve"> </w:t>
      </w:r>
      <w:r>
        <w:rPr>
          <w:rFonts w:hint="eastAsia" w:ascii="黑体" w:hAnsi="黑体" w:eastAsia="黑体"/>
          <w:bCs/>
          <w:kern w:val="44"/>
          <w:sz w:val="32"/>
          <w:szCs w:val="32"/>
        </w:rPr>
        <w:t>评价认定管理</w:t>
      </w:r>
    </w:p>
    <w:p>
      <w:pPr>
        <w:keepNext/>
        <w:keepLines/>
        <w:spacing w:line="580" w:lineRule="exact"/>
        <w:ind w:firstLine="643"/>
        <w:jc w:val="left"/>
        <w:outlineLvl w:val="1"/>
        <w:rPr>
          <w:rFonts w:ascii="楷体_GB2312" w:eastAsia="楷体_GB2312"/>
          <w:b/>
          <w:bCs/>
          <w:sz w:val="32"/>
          <w:szCs w:val="32"/>
        </w:rPr>
      </w:pPr>
      <w:r>
        <w:rPr>
          <w:rFonts w:hint="eastAsia" w:ascii="楷体_GB2312" w:eastAsia="楷体_GB2312"/>
          <w:b/>
          <w:bCs/>
          <w:sz w:val="32"/>
          <w:szCs w:val="32"/>
        </w:rPr>
        <w:t>（一）申报资料</w:t>
      </w:r>
    </w:p>
    <w:p>
      <w:pPr>
        <w:spacing w:line="540" w:lineRule="exact"/>
        <w:rPr>
          <w:rFonts w:ascii="仿宋_GB2312"/>
          <w:sz w:val="32"/>
          <w:szCs w:val="32"/>
        </w:rPr>
      </w:pPr>
      <w:r>
        <w:rPr>
          <w:rFonts w:hint="eastAsia" w:ascii="仿宋_GB2312" w:hAnsi="宋体"/>
          <w:sz w:val="32"/>
          <w:szCs w:val="32"/>
        </w:rPr>
        <w:t>包括但不限于：</w:t>
      </w:r>
    </w:p>
    <w:p>
      <w:pPr>
        <w:spacing w:line="540" w:lineRule="exact"/>
        <w:ind w:firstLine="640" w:firstLineChars="200"/>
        <w:rPr>
          <w:rFonts w:ascii="仿宋_GB2312"/>
          <w:sz w:val="32"/>
          <w:szCs w:val="32"/>
        </w:rPr>
      </w:pPr>
      <w:r>
        <w:rPr>
          <w:rFonts w:ascii="仿宋_GB2312" w:hAnsi="宋体"/>
          <w:sz w:val="32"/>
          <w:szCs w:val="32"/>
        </w:rPr>
        <w:t>1.</w:t>
      </w:r>
      <w:r>
        <w:rPr>
          <w:rFonts w:hint="eastAsia" w:ascii="仿宋_GB2312" w:hAnsi="宋体"/>
          <w:sz w:val="32"/>
          <w:szCs w:val="32"/>
        </w:rPr>
        <w:t>南平市绿色企业认定申请表；</w:t>
      </w:r>
    </w:p>
    <w:p>
      <w:pPr>
        <w:spacing w:line="540" w:lineRule="exact"/>
        <w:ind w:firstLine="640" w:firstLineChars="200"/>
        <w:rPr>
          <w:rFonts w:ascii="仿宋_GB2312"/>
          <w:sz w:val="32"/>
          <w:szCs w:val="32"/>
        </w:rPr>
      </w:pPr>
      <w:r>
        <w:rPr>
          <w:rFonts w:ascii="仿宋_GB2312" w:hAnsi="宋体"/>
          <w:sz w:val="32"/>
          <w:szCs w:val="32"/>
        </w:rPr>
        <w:t>2.</w:t>
      </w:r>
      <w:r>
        <w:rPr>
          <w:rFonts w:hint="eastAsia" w:ascii="仿宋_GB2312" w:hAnsi="宋体"/>
          <w:sz w:val="32"/>
          <w:szCs w:val="32"/>
        </w:rPr>
        <w:t>无重大事故及无非法违规承诺函；</w:t>
      </w:r>
    </w:p>
    <w:p>
      <w:pPr>
        <w:spacing w:line="540" w:lineRule="exact"/>
        <w:ind w:firstLine="640" w:firstLineChars="200"/>
        <w:rPr>
          <w:rFonts w:ascii="仿宋_GB2312"/>
          <w:sz w:val="32"/>
          <w:szCs w:val="32"/>
        </w:rPr>
      </w:pPr>
      <w:r>
        <w:rPr>
          <w:rFonts w:ascii="仿宋_GB2312" w:hAnsi="宋体"/>
          <w:sz w:val="32"/>
          <w:szCs w:val="32"/>
        </w:rPr>
        <w:t>3.</w:t>
      </w:r>
      <w:r>
        <w:rPr>
          <w:rFonts w:hint="eastAsia" w:ascii="仿宋_GB2312" w:hAnsi="宋体"/>
          <w:sz w:val="32"/>
          <w:szCs w:val="32"/>
        </w:rPr>
        <w:t>企业营业执照；</w:t>
      </w:r>
    </w:p>
    <w:p>
      <w:pPr>
        <w:spacing w:line="540" w:lineRule="exact"/>
        <w:ind w:firstLine="640" w:firstLineChars="200"/>
        <w:rPr>
          <w:rFonts w:ascii="仿宋_GB2312"/>
          <w:sz w:val="32"/>
          <w:szCs w:val="32"/>
        </w:rPr>
      </w:pPr>
      <w:r>
        <w:rPr>
          <w:rFonts w:ascii="仿宋_GB2312" w:hAnsi="宋体"/>
          <w:sz w:val="32"/>
          <w:szCs w:val="32"/>
        </w:rPr>
        <w:t>4.</w:t>
      </w:r>
      <w:r>
        <w:rPr>
          <w:rFonts w:hint="eastAsia" w:ascii="仿宋_GB2312" w:hAnsi="宋体"/>
          <w:sz w:val="32"/>
          <w:szCs w:val="32"/>
        </w:rPr>
        <w:t>企业上年度审计报告；</w:t>
      </w:r>
    </w:p>
    <w:p>
      <w:pPr>
        <w:spacing w:line="540" w:lineRule="exact"/>
        <w:ind w:firstLine="640" w:firstLineChars="200"/>
        <w:rPr>
          <w:rFonts w:ascii="仿宋_GB2312"/>
          <w:sz w:val="32"/>
          <w:szCs w:val="32"/>
        </w:rPr>
      </w:pPr>
      <w:r>
        <w:rPr>
          <w:rFonts w:ascii="仿宋_GB2312" w:hAnsi="宋体"/>
          <w:sz w:val="32"/>
          <w:szCs w:val="32"/>
        </w:rPr>
        <w:t>5.</w:t>
      </w:r>
      <w:r>
        <w:rPr>
          <w:rFonts w:hint="eastAsia" w:ascii="仿宋_GB2312" w:hAnsi="宋体"/>
          <w:sz w:val="32"/>
          <w:szCs w:val="32"/>
        </w:rPr>
        <w:t>安全生产应急预案、生产管理制度（如有）；</w:t>
      </w:r>
    </w:p>
    <w:p>
      <w:pPr>
        <w:spacing w:line="540" w:lineRule="exact"/>
        <w:ind w:firstLine="640" w:firstLineChars="200"/>
        <w:rPr>
          <w:rFonts w:ascii="仿宋_GB2312"/>
          <w:sz w:val="32"/>
          <w:szCs w:val="32"/>
        </w:rPr>
      </w:pPr>
      <w:r>
        <w:rPr>
          <w:rFonts w:ascii="仿宋_GB2312" w:hAnsi="宋体"/>
          <w:sz w:val="32"/>
          <w:szCs w:val="32"/>
        </w:rPr>
        <w:t>6.</w:t>
      </w:r>
      <w:r>
        <w:rPr>
          <w:rFonts w:hint="eastAsia" w:ascii="仿宋_GB2312" w:hAnsi="宋体"/>
          <w:spacing w:val="-20"/>
          <w:sz w:val="32"/>
          <w:szCs w:val="32"/>
        </w:rPr>
        <w:t>建设项目环评报告及批复、环境保护竣工验收报告（如有）；</w:t>
      </w:r>
    </w:p>
    <w:p>
      <w:pPr>
        <w:spacing w:line="540" w:lineRule="exact"/>
        <w:ind w:firstLine="640" w:firstLineChars="200"/>
        <w:rPr>
          <w:rFonts w:ascii="仿宋_GB2312"/>
          <w:sz w:val="32"/>
          <w:szCs w:val="32"/>
        </w:rPr>
      </w:pPr>
      <w:r>
        <w:rPr>
          <w:rFonts w:ascii="仿宋_GB2312" w:hAnsi="宋体"/>
          <w:sz w:val="32"/>
          <w:szCs w:val="32"/>
        </w:rPr>
        <w:t>7.</w:t>
      </w:r>
      <w:r>
        <w:rPr>
          <w:rFonts w:hint="eastAsia" w:ascii="仿宋_GB2312" w:hAnsi="宋体"/>
          <w:sz w:val="32"/>
          <w:szCs w:val="32"/>
        </w:rPr>
        <w:t>企业排污许可证及最近一年环境监测数据（如有）；</w:t>
      </w:r>
    </w:p>
    <w:p>
      <w:pPr>
        <w:spacing w:line="540" w:lineRule="exact"/>
        <w:ind w:firstLine="640" w:firstLineChars="200"/>
        <w:rPr>
          <w:rFonts w:ascii="仿宋_GB2312"/>
          <w:sz w:val="32"/>
          <w:szCs w:val="32"/>
        </w:rPr>
      </w:pPr>
      <w:r>
        <w:rPr>
          <w:rFonts w:ascii="仿宋_GB2312" w:hAnsi="宋体"/>
          <w:sz w:val="32"/>
          <w:szCs w:val="32"/>
        </w:rPr>
        <w:t>8.</w:t>
      </w:r>
      <w:r>
        <w:rPr>
          <w:rFonts w:hint="eastAsia" w:ascii="仿宋_GB2312" w:hAnsi="宋体"/>
          <w:sz w:val="32"/>
          <w:szCs w:val="32"/>
        </w:rPr>
        <w:t>企业其他相关佐证材料（如有）。</w:t>
      </w:r>
    </w:p>
    <w:p>
      <w:pPr>
        <w:keepNext/>
        <w:keepLines/>
        <w:spacing w:line="580" w:lineRule="exact"/>
        <w:ind w:firstLine="643" w:firstLineChars="200"/>
        <w:jc w:val="left"/>
        <w:outlineLvl w:val="1"/>
        <w:rPr>
          <w:rFonts w:ascii="仿宋_GB2312"/>
          <w:b/>
          <w:bCs/>
          <w:sz w:val="32"/>
          <w:szCs w:val="32"/>
        </w:rPr>
      </w:pPr>
      <w:bookmarkStart w:id="11" w:name="_Toc75783268"/>
      <w:bookmarkEnd w:id="11"/>
      <w:r>
        <w:rPr>
          <w:rFonts w:hint="eastAsia" w:ascii="楷体_GB2312" w:eastAsia="楷体_GB2312"/>
          <w:b/>
          <w:bCs/>
          <w:sz w:val="32"/>
          <w:szCs w:val="32"/>
        </w:rPr>
        <w:t>（二）评定程序</w:t>
      </w:r>
    </w:p>
    <w:p>
      <w:pPr>
        <w:spacing w:line="540" w:lineRule="exact"/>
        <w:ind w:firstLine="681" w:firstLineChars="212"/>
        <w:rPr>
          <w:rFonts w:ascii="仿宋_GB2312"/>
          <w:b/>
          <w:bCs/>
          <w:sz w:val="32"/>
          <w:szCs w:val="32"/>
        </w:rPr>
      </w:pPr>
      <w:r>
        <w:rPr>
          <w:rFonts w:hint="eastAsia" w:ascii="仿宋_GB2312" w:hAnsi="宋体"/>
          <w:b/>
          <w:bCs/>
          <w:sz w:val="32"/>
          <w:szCs w:val="32"/>
        </w:rPr>
        <w:t>1.名单收集</w:t>
      </w:r>
    </w:p>
    <w:p>
      <w:pPr>
        <w:spacing w:line="540" w:lineRule="exact"/>
        <w:ind w:firstLine="200"/>
        <w:rPr>
          <w:rFonts w:ascii="仿宋_GB2312"/>
          <w:sz w:val="32"/>
          <w:szCs w:val="32"/>
        </w:rPr>
      </w:pPr>
      <w:r>
        <w:rPr>
          <w:rFonts w:ascii="仿宋_GB2312" w:hAnsi="宋体"/>
          <w:sz w:val="32"/>
          <w:szCs w:val="32"/>
        </w:rPr>
        <w:t xml:space="preserve">   </w:t>
      </w:r>
      <w:r>
        <w:rPr>
          <w:rFonts w:hint="eastAsia" w:ascii="仿宋_GB2312" w:hAnsi="宋体"/>
          <w:sz w:val="32"/>
          <w:szCs w:val="32"/>
        </w:rPr>
        <w:t>（</w:t>
      </w:r>
      <w:r>
        <w:rPr>
          <w:rFonts w:ascii="仿宋_GB2312" w:hAnsi="宋体"/>
          <w:sz w:val="32"/>
          <w:szCs w:val="32"/>
        </w:rPr>
        <w:t>1</w:t>
      </w:r>
      <w:r>
        <w:rPr>
          <w:rFonts w:hint="eastAsia" w:ascii="仿宋_GB2312" w:hAnsi="宋体"/>
          <w:sz w:val="32"/>
          <w:szCs w:val="32"/>
        </w:rPr>
        <w:t>）符合本办法规定的，可直接通过“福建省金融服务云平台</w:t>
      </w:r>
      <w:r>
        <w:rPr>
          <w:rFonts w:hint="eastAsia" w:ascii="仿宋_GB2312"/>
          <w:sz w:val="32"/>
          <w:szCs w:val="32"/>
        </w:rPr>
        <w:t>—</w:t>
      </w:r>
      <w:r>
        <w:rPr>
          <w:rFonts w:hint="eastAsia" w:ascii="仿宋_GB2312" w:hAnsi="宋体"/>
          <w:sz w:val="32"/>
          <w:szCs w:val="32"/>
        </w:rPr>
        <w:t>南平专区</w:t>
      </w:r>
      <w:r>
        <w:rPr>
          <w:rFonts w:hint="eastAsia" w:ascii="仿宋_GB2312"/>
          <w:sz w:val="32"/>
          <w:szCs w:val="32"/>
        </w:rPr>
        <w:t>”提交相关资料；</w:t>
      </w:r>
    </w:p>
    <w:p>
      <w:pPr>
        <w:spacing w:line="540" w:lineRule="exact"/>
        <w:ind w:firstLine="200"/>
        <w:rPr>
          <w:rFonts w:ascii="仿宋_GB2312"/>
          <w:spacing w:val="-4"/>
          <w:sz w:val="32"/>
          <w:szCs w:val="32"/>
        </w:rPr>
      </w:pPr>
      <w:r>
        <w:rPr>
          <w:rFonts w:ascii="仿宋_GB2312" w:hAnsi="宋体"/>
          <w:sz w:val="32"/>
          <w:szCs w:val="32"/>
        </w:rPr>
        <w:t xml:space="preserve">   </w:t>
      </w:r>
      <w:r>
        <w:rPr>
          <w:rFonts w:hint="eastAsia" w:ascii="仿宋_GB2312" w:hAnsi="宋体"/>
          <w:sz w:val="32"/>
          <w:szCs w:val="32"/>
        </w:rPr>
        <w:t>（</w:t>
      </w:r>
      <w:r>
        <w:rPr>
          <w:rFonts w:ascii="仿宋_GB2312" w:hAnsi="宋体"/>
          <w:sz w:val="32"/>
          <w:szCs w:val="32"/>
        </w:rPr>
        <w:t>2</w:t>
      </w:r>
      <w:r>
        <w:rPr>
          <w:rFonts w:hint="eastAsia" w:ascii="仿宋_GB2312" w:hAnsi="宋体"/>
          <w:sz w:val="32"/>
          <w:szCs w:val="32"/>
        </w:rPr>
        <w:t>）</w:t>
      </w:r>
      <w:r>
        <w:rPr>
          <w:rFonts w:hint="eastAsia" w:ascii="仿宋_GB2312" w:hAnsi="宋体"/>
          <w:spacing w:val="-4"/>
          <w:sz w:val="32"/>
          <w:szCs w:val="32"/>
        </w:rPr>
        <w:t>各区</w:t>
      </w:r>
      <w:r>
        <w:rPr>
          <w:rFonts w:ascii="仿宋_GB2312"/>
          <w:spacing w:val="-4"/>
          <w:sz w:val="32"/>
          <w:szCs w:val="32"/>
        </w:rPr>
        <w:t>/</w:t>
      </w:r>
      <w:r>
        <w:rPr>
          <w:rFonts w:hint="eastAsia" w:ascii="仿宋_GB2312" w:hAnsi="宋体"/>
          <w:spacing w:val="-4"/>
          <w:sz w:val="32"/>
          <w:szCs w:val="32"/>
        </w:rPr>
        <w:t>县工信、商务、农业农村、文化旅游等行业主管部门分别收集相关领域符合条件的企业名单，推荐给南平市地方金融监督管理局，由南平市地方金融监督管理局通知各企业通过</w:t>
      </w:r>
      <w:r>
        <w:rPr>
          <w:rFonts w:hint="eastAsia" w:ascii="仿宋_GB2312"/>
          <w:spacing w:val="-4"/>
          <w:sz w:val="32"/>
          <w:szCs w:val="32"/>
        </w:rPr>
        <w:t>“福建省金融服务云平台—</w:t>
      </w:r>
      <w:r>
        <w:rPr>
          <w:rFonts w:hint="eastAsia" w:ascii="仿宋_GB2312" w:hAnsi="宋体"/>
          <w:spacing w:val="-4"/>
          <w:sz w:val="32"/>
          <w:szCs w:val="32"/>
        </w:rPr>
        <w:t>南平专区</w:t>
      </w:r>
      <w:r>
        <w:rPr>
          <w:rFonts w:hint="eastAsia" w:ascii="仿宋_GB2312"/>
          <w:spacing w:val="-4"/>
          <w:sz w:val="32"/>
          <w:szCs w:val="32"/>
        </w:rPr>
        <w:t>”提交相关资料。</w:t>
      </w:r>
    </w:p>
    <w:p>
      <w:pPr>
        <w:spacing w:line="540" w:lineRule="exact"/>
        <w:ind w:firstLine="200"/>
        <w:rPr>
          <w:rFonts w:ascii="仿宋_GB2312"/>
          <w:b/>
          <w:bCs/>
          <w:sz w:val="32"/>
          <w:szCs w:val="32"/>
        </w:rPr>
      </w:pPr>
      <w:r>
        <w:rPr>
          <w:rFonts w:ascii="仿宋_GB2312" w:hAnsi="宋体"/>
          <w:b/>
          <w:bCs/>
          <w:sz w:val="32"/>
          <w:szCs w:val="32"/>
        </w:rPr>
        <w:t xml:space="preserve">    </w:t>
      </w:r>
      <w:r>
        <w:rPr>
          <w:rFonts w:hint="eastAsia" w:ascii="仿宋_GB2312" w:hAnsi="宋体"/>
          <w:b/>
          <w:bCs/>
          <w:sz w:val="32"/>
          <w:szCs w:val="32"/>
        </w:rPr>
        <w:t>2.评价认定</w:t>
      </w:r>
    </w:p>
    <w:p>
      <w:pPr>
        <w:spacing w:line="540" w:lineRule="exact"/>
        <w:ind w:firstLine="200"/>
        <w:rPr>
          <w:rFonts w:ascii="仿宋_GB2312"/>
          <w:sz w:val="32"/>
          <w:szCs w:val="32"/>
        </w:rPr>
      </w:pPr>
      <w:r>
        <w:rPr>
          <w:rFonts w:ascii="仿宋_GB2312" w:hAnsi="宋体"/>
          <w:sz w:val="32"/>
          <w:szCs w:val="32"/>
        </w:rPr>
        <w:t xml:space="preserve">    绿色企业评价认定工作由第三方机构承担，依据企业实际情况及本评价认定办法进行复审。</w:t>
      </w:r>
    </w:p>
    <w:p>
      <w:pPr>
        <w:spacing w:line="540" w:lineRule="exact"/>
        <w:ind w:firstLine="200"/>
        <w:rPr>
          <w:rFonts w:ascii="仿宋_GB2312"/>
          <w:b/>
          <w:bCs/>
          <w:sz w:val="32"/>
          <w:szCs w:val="32"/>
        </w:rPr>
      </w:pPr>
      <w:r>
        <w:rPr>
          <w:rFonts w:ascii="仿宋_GB2312" w:hAnsi="宋体"/>
          <w:b/>
          <w:bCs/>
          <w:sz w:val="32"/>
          <w:szCs w:val="32"/>
        </w:rPr>
        <w:t xml:space="preserve">    </w:t>
      </w:r>
      <w:r>
        <w:rPr>
          <w:rFonts w:hint="eastAsia" w:ascii="仿宋_GB2312" w:hAnsi="宋体"/>
          <w:b/>
          <w:bCs/>
          <w:sz w:val="32"/>
          <w:szCs w:val="32"/>
        </w:rPr>
        <w:t>3.公示</w:t>
      </w:r>
    </w:p>
    <w:p>
      <w:pPr>
        <w:spacing w:line="540" w:lineRule="exact"/>
        <w:ind w:firstLine="200"/>
        <w:rPr>
          <w:rFonts w:ascii="仿宋_GB2312"/>
          <w:spacing w:val="-6"/>
          <w:sz w:val="32"/>
          <w:szCs w:val="32"/>
        </w:rPr>
      </w:pPr>
      <w:r>
        <w:rPr>
          <w:rFonts w:ascii="仿宋_GB2312" w:hAnsi="宋体"/>
          <w:sz w:val="32"/>
          <w:szCs w:val="32"/>
        </w:rPr>
        <w:t xml:space="preserve">    </w:t>
      </w:r>
      <w:r>
        <w:rPr>
          <w:rFonts w:hint="eastAsia" w:ascii="仿宋_GB2312" w:hAnsi="宋体"/>
          <w:spacing w:val="-6"/>
          <w:sz w:val="32"/>
          <w:szCs w:val="32"/>
        </w:rPr>
        <w:t>南平市地方金融监督管理局及时公布绿色企业评价认定结果，对拟认定绿色企业清单在相关媒体上公示</w:t>
      </w:r>
      <w:r>
        <w:rPr>
          <w:rFonts w:ascii="仿宋_GB2312"/>
          <w:spacing w:val="-6"/>
          <w:sz w:val="32"/>
          <w:szCs w:val="32"/>
        </w:rPr>
        <w:t>10</w:t>
      </w:r>
      <w:r>
        <w:rPr>
          <w:rFonts w:hint="eastAsia" w:ascii="仿宋_GB2312" w:hAnsi="宋体"/>
          <w:spacing w:val="-6"/>
          <w:sz w:val="32"/>
          <w:szCs w:val="32"/>
        </w:rPr>
        <w:t>个工作日，公示期间，对评定结果有异议的，可提供证明材料，</w:t>
      </w:r>
      <w:r>
        <w:rPr>
          <w:rFonts w:ascii="仿宋_GB2312"/>
          <w:spacing w:val="-6"/>
          <w:sz w:val="32"/>
          <w:szCs w:val="32"/>
        </w:rPr>
        <w:t>5</w:t>
      </w:r>
      <w:r>
        <w:rPr>
          <w:rFonts w:hint="eastAsia" w:ascii="仿宋_GB2312" w:hAnsi="宋体"/>
          <w:spacing w:val="-6"/>
          <w:sz w:val="32"/>
          <w:szCs w:val="32"/>
        </w:rPr>
        <w:t>个工作日内，南平市地方金融监督管理局对异议作出处理。</w:t>
      </w:r>
    </w:p>
    <w:p>
      <w:pPr>
        <w:spacing w:line="540" w:lineRule="exact"/>
        <w:ind w:firstLine="200"/>
        <w:rPr>
          <w:rFonts w:ascii="仿宋_GB2312"/>
          <w:b/>
          <w:bCs/>
          <w:sz w:val="32"/>
          <w:szCs w:val="32"/>
        </w:rPr>
      </w:pPr>
      <w:r>
        <w:rPr>
          <w:rFonts w:ascii="仿宋_GB2312" w:hAnsi="宋体"/>
          <w:b/>
          <w:bCs/>
          <w:sz w:val="32"/>
          <w:szCs w:val="32"/>
        </w:rPr>
        <w:t xml:space="preserve">   </w:t>
      </w:r>
      <w:r>
        <w:rPr>
          <w:rFonts w:hint="eastAsia" w:ascii="仿宋_GB2312" w:hAnsi="宋体"/>
          <w:b/>
          <w:bCs/>
          <w:sz w:val="32"/>
          <w:szCs w:val="32"/>
        </w:rPr>
        <w:t>4.入库管理</w:t>
      </w:r>
    </w:p>
    <w:p>
      <w:pPr>
        <w:tabs>
          <w:tab w:val="left" w:pos="851"/>
        </w:tabs>
        <w:spacing w:line="540" w:lineRule="exact"/>
        <w:ind w:firstLine="200"/>
        <w:rPr>
          <w:rFonts w:ascii="仿宋_GB2312"/>
          <w:sz w:val="32"/>
          <w:szCs w:val="32"/>
        </w:rPr>
      </w:pPr>
      <w:r>
        <w:rPr>
          <w:rFonts w:ascii="仿宋_GB2312" w:hAnsi="宋体"/>
          <w:sz w:val="32"/>
          <w:szCs w:val="32"/>
        </w:rPr>
        <w:t xml:space="preserve">   </w:t>
      </w:r>
      <w:r>
        <w:rPr>
          <w:rFonts w:hint="eastAsia" w:ascii="仿宋_GB2312" w:hAnsi="宋体"/>
          <w:sz w:val="32"/>
          <w:szCs w:val="32"/>
        </w:rPr>
        <w:t>（</w:t>
      </w:r>
      <w:r>
        <w:rPr>
          <w:rFonts w:ascii="仿宋_GB2312" w:hAnsi="宋体"/>
          <w:sz w:val="32"/>
          <w:szCs w:val="32"/>
        </w:rPr>
        <w:t>1）</w:t>
      </w:r>
      <w:r>
        <w:rPr>
          <w:rFonts w:hint="eastAsia" w:ascii="仿宋_GB2312" w:hAnsi="宋体"/>
          <w:sz w:val="32"/>
          <w:szCs w:val="32"/>
        </w:rPr>
        <w:t>纳入“绿色企业库”的绿色企业有效期为三年。入库企业在有效期内，应以年度为单位更新审计报告、环保处罚信息，由第三方认证评价机构根据原申报材料及企业提交更新材料进行核查认证，南平市地方金融监督管理局根据核查认证结果，对不满足评价认定标准的企业予以剔除；</w:t>
      </w:r>
    </w:p>
    <w:p>
      <w:pPr>
        <w:spacing w:line="540" w:lineRule="exact"/>
        <w:ind w:firstLine="200"/>
        <w:rPr>
          <w:rFonts w:ascii="仿宋_GB2312"/>
          <w:sz w:val="32"/>
          <w:szCs w:val="32"/>
        </w:rPr>
      </w:pPr>
      <w:r>
        <w:rPr>
          <w:rFonts w:ascii="仿宋_GB2312" w:hAnsi="宋体"/>
          <w:sz w:val="32"/>
          <w:szCs w:val="32"/>
        </w:rPr>
        <w:t xml:space="preserve"> </w:t>
      </w:r>
      <w:r>
        <w:rPr>
          <w:rFonts w:hint="eastAsia" w:ascii="仿宋_GB2312" w:hAnsi="宋体"/>
          <w:sz w:val="32"/>
          <w:szCs w:val="32"/>
        </w:rPr>
        <w:t xml:space="preserve">  （2）在有效期满后需继续纳入“绿色企业库”的，由第三方认证评价机构根据原申报材料及企业提交补充的材料进行核查认证，南平市地方金融监督管理局根据核查认证结果，审查公示后继续将该企业纳入“绿色企业库”；</w:t>
      </w:r>
    </w:p>
    <w:p>
      <w:pPr>
        <w:spacing w:line="540" w:lineRule="exact"/>
        <w:ind w:firstLine="200"/>
        <w:rPr>
          <w:rFonts w:ascii="仿宋_GB2312" w:hAnsi="宋体"/>
          <w:sz w:val="32"/>
          <w:szCs w:val="32"/>
        </w:rPr>
      </w:pPr>
      <w:r>
        <w:rPr>
          <w:rFonts w:ascii="仿宋_GB2312" w:hAnsi="宋体"/>
          <w:sz w:val="32"/>
          <w:szCs w:val="32"/>
        </w:rPr>
        <w:t xml:space="preserve">  </w:t>
      </w:r>
      <w:r>
        <w:rPr>
          <w:rFonts w:hint="eastAsia" w:ascii="仿宋_GB2312" w:hAnsi="宋体"/>
          <w:sz w:val="32"/>
          <w:szCs w:val="32"/>
        </w:rPr>
        <w:t xml:space="preserve"> （3）入库企业在有效期内发生更名等调整的，企业应在</w:t>
      </w:r>
      <w:r>
        <w:rPr>
          <w:rFonts w:ascii="仿宋_GB2312"/>
          <w:sz w:val="32"/>
          <w:szCs w:val="32"/>
        </w:rPr>
        <w:t>15</w:t>
      </w:r>
      <w:r>
        <w:rPr>
          <w:rFonts w:hint="eastAsia" w:ascii="仿宋_GB2312" w:hAnsi="宋体"/>
          <w:sz w:val="32"/>
          <w:szCs w:val="32"/>
        </w:rPr>
        <w:t>个工作日内及时向南平市地方金融监督管理局报备，企业发生分立、合并等重大重组事项的，新设立的公司和分立后的原企业应在</w:t>
      </w:r>
      <w:r>
        <w:rPr>
          <w:rFonts w:ascii="仿宋_GB2312"/>
          <w:sz w:val="32"/>
          <w:szCs w:val="32"/>
        </w:rPr>
        <w:t>15</w:t>
      </w:r>
      <w:r>
        <w:rPr>
          <w:rFonts w:hint="eastAsia" w:ascii="仿宋_GB2312" w:hAnsi="宋体"/>
          <w:sz w:val="32"/>
          <w:szCs w:val="32"/>
        </w:rPr>
        <w:t>个工作日内重新申请认定</w:t>
      </w:r>
      <w:r>
        <w:rPr>
          <w:rFonts w:ascii="仿宋_GB2312"/>
          <w:sz w:val="32"/>
          <w:szCs w:val="32"/>
        </w:rPr>
        <w:t xml:space="preserve">; </w:t>
      </w:r>
      <w:r>
        <w:rPr>
          <w:rFonts w:hint="eastAsia" w:ascii="仿宋_GB2312" w:hAnsi="宋体"/>
          <w:sz w:val="32"/>
          <w:szCs w:val="32"/>
        </w:rPr>
        <w:t>分立后原企业仍保留的，原认定有效，无须重新认定。</w:t>
      </w:r>
    </w:p>
    <w:p>
      <w:pPr>
        <w:widowControl/>
        <w:jc w:val="left"/>
        <w:rPr>
          <w:rFonts w:ascii="宋体" w:hAnsi="宋体"/>
          <w:sz w:val="32"/>
        </w:rPr>
        <w:sectPr>
          <w:pgSz w:w="11906" w:h="16838"/>
          <w:pgMar w:top="1440" w:right="1800" w:bottom="1440" w:left="1800" w:header="851" w:footer="992" w:gutter="0"/>
          <w:cols w:space="720" w:num="1"/>
          <w:docGrid w:type="lines" w:linePitch="312" w:charSpace="0"/>
        </w:sectPr>
      </w:pPr>
    </w:p>
    <w:p>
      <w:pPr>
        <w:snapToGrid w:val="0"/>
        <w:jc w:val="left"/>
        <w:rPr>
          <w:rFonts w:ascii="宋体" w:hAnsi="宋体"/>
          <w:b/>
          <w:bCs/>
        </w:rPr>
      </w:pPr>
      <w:r>
        <w:rPr>
          <w:rFonts w:hint="eastAsia" w:ascii="黑体" w:hAnsi="黑体" w:eastAsia="黑体"/>
          <w:bCs/>
          <w:sz w:val="32"/>
          <w:szCs w:val="32"/>
        </w:rPr>
        <w:t>附表</w:t>
      </w:r>
      <w:r>
        <w:rPr>
          <w:rFonts w:ascii="黑体" w:hAnsi="黑体" w:eastAsia="黑体"/>
          <w:bCs/>
          <w:sz w:val="32"/>
          <w:szCs w:val="32"/>
        </w:rPr>
        <w:t>3</w:t>
      </w:r>
    </w:p>
    <w:p>
      <w:pPr>
        <w:snapToGrid w:val="0"/>
        <w:ind w:firstLine="482"/>
        <w:jc w:val="center"/>
        <w:rPr>
          <w:rFonts w:ascii="方正小标宋简体" w:hAnsi="宋体" w:eastAsia="方正小标宋简体"/>
          <w:bCs/>
          <w:sz w:val="36"/>
          <w:szCs w:val="36"/>
        </w:rPr>
      </w:pPr>
      <w:r>
        <w:rPr>
          <w:rFonts w:hint="eastAsia" w:ascii="方正小标宋简体" w:hAnsi="宋体" w:eastAsia="方正小标宋简体"/>
          <w:bCs/>
          <w:sz w:val="36"/>
          <w:szCs w:val="36"/>
        </w:rPr>
        <w:t>南平市绿色企业评价打分表</w:t>
      </w:r>
    </w:p>
    <w:p>
      <w:pPr>
        <w:snapToGrid w:val="0"/>
        <w:ind w:firstLine="482"/>
        <w:jc w:val="center"/>
        <w:rPr>
          <w:rFonts w:ascii="方正小标宋简体" w:eastAsia="方正小标宋简体" w:cs="黑体"/>
          <w:bCs/>
          <w:sz w:val="36"/>
          <w:szCs w:val="36"/>
        </w:rPr>
      </w:pPr>
    </w:p>
    <w:tbl>
      <w:tblPr>
        <w:tblStyle w:val="7"/>
        <w:tblW w:w="14742"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3"/>
        <w:gridCol w:w="2695"/>
        <w:gridCol w:w="600"/>
        <w:gridCol w:w="4788"/>
        <w:gridCol w:w="7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jc w:val="center"/>
              <w:rPr>
                <w:rFonts w:ascii="宋体" w:hAnsi="宋体" w:eastAsia="宋体" w:cs="黑体"/>
                <w:b/>
                <w:bCs/>
                <w:sz w:val="24"/>
              </w:rPr>
            </w:pPr>
            <w:bookmarkStart w:id="12" w:name="_Toc3969970"/>
            <w:r>
              <w:rPr>
                <w:rFonts w:hint="eastAsia" w:ascii="宋体" w:hAnsi="宋体" w:eastAsia="宋体"/>
                <w:b/>
                <w:bCs/>
                <w:sz w:val="24"/>
              </w:rPr>
              <w:t>一级指标</w:t>
            </w:r>
            <w:bookmarkEnd w:id="12"/>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jc w:val="center"/>
              <w:rPr>
                <w:rFonts w:ascii="宋体" w:hAnsi="宋体" w:eastAsia="宋体" w:cs="黑体"/>
                <w:b/>
                <w:bCs/>
                <w:sz w:val="24"/>
              </w:rPr>
            </w:pPr>
            <w:r>
              <w:rPr>
                <w:rFonts w:hint="eastAsia" w:ascii="宋体" w:hAnsi="宋体" w:eastAsia="宋体"/>
                <w:b/>
                <w:bCs/>
                <w:sz w:val="24"/>
              </w:rPr>
              <w:t>二级指标</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firstLineChars="200"/>
              <w:jc w:val="center"/>
              <w:rPr>
                <w:rFonts w:ascii="宋体" w:hAnsi="宋体" w:eastAsia="宋体" w:cs="黑体"/>
                <w:b/>
                <w:bCs/>
                <w:sz w:val="24"/>
              </w:rPr>
            </w:pPr>
            <w:r>
              <w:rPr>
                <w:rFonts w:hint="eastAsia" w:ascii="宋体" w:hAnsi="宋体" w:eastAsia="宋体"/>
                <w:b/>
                <w:bCs/>
                <w:sz w:val="24"/>
              </w:rPr>
              <w:t>指标定义</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firstLineChars="200"/>
              <w:jc w:val="center"/>
              <w:rPr>
                <w:rFonts w:ascii="宋体" w:hAnsi="宋体" w:eastAsia="宋体" w:cs="黑体"/>
                <w:b/>
                <w:bCs/>
                <w:sz w:val="24"/>
              </w:rPr>
            </w:pPr>
            <w:r>
              <w:rPr>
                <w:rFonts w:hint="eastAsia" w:ascii="宋体" w:hAnsi="宋体" w:eastAsia="宋体"/>
                <w:b/>
                <w:bCs/>
                <w:sz w:val="24"/>
              </w:rPr>
              <w:t>分值</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firstLineChars="200"/>
              <w:jc w:val="center"/>
              <w:rPr>
                <w:rFonts w:ascii="宋体" w:hAnsi="宋体" w:eastAsia="宋体" w:cs="黑体"/>
                <w:b/>
                <w:bCs/>
                <w:sz w:val="24"/>
              </w:rPr>
            </w:pPr>
            <w:r>
              <w:rPr>
                <w:rFonts w:hint="eastAsia" w:ascii="宋体" w:hAnsi="宋体" w:eastAsia="宋体"/>
                <w:b/>
                <w:bCs/>
                <w:sz w:val="24"/>
              </w:rPr>
              <w:t>指标要求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jc w:val="center"/>
              <w:rPr>
                <w:rFonts w:ascii="宋体" w:hAnsi="宋体" w:eastAsia="宋体" w:cs="黑体"/>
                <w:b/>
                <w:bCs/>
                <w:sz w:val="24"/>
              </w:rPr>
            </w:pPr>
            <w:r>
              <w:rPr>
                <w:rFonts w:hint="eastAsia" w:ascii="宋体" w:hAnsi="宋体" w:eastAsia="宋体"/>
                <w:b/>
                <w:bCs/>
                <w:sz w:val="24"/>
              </w:rPr>
              <w:t>得分</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firstLineChars="200"/>
              <w:jc w:val="center"/>
              <w:rPr>
                <w:rFonts w:ascii="宋体" w:hAnsi="宋体" w:eastAsia="宋体" w:cs="黑体"/>
                <w:b/>
                <w:bCs/>
                <w:sz w:val="24"/>
              </w:rPr>
            </w:pPr>
            <w:r>
              <w:rPr>
                <w:rFonts w:hint="eastAsia" w:ascii="宋体" w:hAnsi="宋体" w:eastAsia="宋体"/>
                <w:b/>
                <w:bCs/>
                <w:sz w:val="24"/>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jc w:val="center"/>
              <w:rPr>
                <w:rFonts w:ascii="宋体" w:hAnsi="宋体" w:eastAsia="宋体" w:cs="黑体"/>
                <w:b/>
                <w:bCs/>
                <w:sz w:val="24"/>
              </w:rPr>
            </w:pPr>
            <w:r>
              <w:rPr>
                <w:rFonts w:hint="eastAsia" w:ascii="宋体" w:hAnsi="宋体" w:eastAsia="宋体"/>
                <w:b/>
                <w:bCs/>
                <w:sz w:val="24"/>
              </w:rPr>
              <w:t>绿色经营（</w:t>
            </w:r>
            <w:r>
              <w:rPr>
                <w:rFonts w:ascii="宋体" w:hAnsi="宋体" w:eastAsia="宋体"/>
                <w:b/>
                <w:bCs/>
                <w:sz w:val="24"/>
              </w:rPr>
              <w:t>48</w:t>
            </w:r>
            <w:r>
              <w:rPr>
                <w:rFonts w:hint="eastAsia" w:ascii="宋体" w:hAnsi="宋体" w:eastAsia="宋体"/>
                <w:b/>
                <w:bCs/>
                <w:sz w:val="24"/>
              </w:rPr>
              <w:t>分）</w:t>
            </w: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产业政策导向</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rPr>
                <w:rFonts w:ascii="宋体" w:hAnsi="宋体" w:eastAsia="宋体" w:cs="黑体"/>
                <w:sz w:val="24"/>
              </w:rPr>
            </w:pPr>
            <w:r>
              <w:rPr>
                <w:rFonts w:hint="eastAsia" w:ascii="宋体" w:hAnsi="宋体" w:eastAsia="宋体"/>
                <w:sz w:val="24"/>
              </w:rPr>
              <w:t>主营业务属于国家产业政策中的鼓励类</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8</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主营业务属于《产业结构调整指导目录</w:t>
            </w:r>
            <w:r>
              <w:rPr>
                <w:rFonts w:ascii="宋体" w:hAnsi="宋体" w:eastAsia="宋体"/>
                <w:sz w:val="24"/>
              </w:rPr>
              <w:t>2019</w:t>
            </w:r>
            <w:r>
              <w:rPr>
                <w:rFonts w:hint="eastAsia" w:ascii="宋体" w:hAnsi="宋体" w:eastAsia="宋体"/>
                <w:sz w:val="24"/>
              </w:rPr>
              <w:t>版》中鼓励类</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4</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企业提供详细的各业务板块介绍、收入占比、最近一年合并财务报表。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40"/>
              <w:rPr>
                <w:rFonts w:ascii="宋体" w:hAnsi="宋体" w:eastAsia="宋体" w:cs="黑体"/>
                <w:spacing w:val="-10"/>
                <w:sz w:val="24"/>
              </w:rPr>
            </w:pPr>
            <w:r>
              <w:rPr>
                <w:rFonts w:hint="eastAsia" w:ascii="宋体" w:hAnsi="宋体" w:eastAsia="宋体"/>
                <w:spacing w:val="-10"/>
                <w:sz w:val="24"/>
              </w:rPr>
              <w:t>主营业务符合南平市地方产业政策绿色发展导向</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56" w:firstLineChars="200"/>
              <w:jc w:val="center"/>
              <w:rPr>
                <w:rFonts w:ascii="宋体" w:hAnsi="宋体" w:eastAsia="宋体" w:cs="黑体"/>
                <w:spacing w:val="-6"/>
                <w:sz w:val="24"/>
              </w:rPr>
            </w:pPr>
            <w:r>
              <w:rPr>
                <w:rFonts w:hint="eastAsia" w:ascii="宋体" w:hAnsi="宋体" w:eastAsia="宋体"/>
                <w:spacing w:val="-6"/>
                <w:sz w:val="24"/>
              </w:rPr>
              <w:t>主营业务符合南平市地方产业政策绿色发展导向，详见附件</w:t>
            </w:r>
            <w:r>
              <w:rPr>
                <w:rFonts w:ascii="宋体" w:hAnsi="宋体" w:eastAsia="宋体"/>
                <w:spacing w:val="-6"/>
                <w:sz w:val="24"/>
              </w:rPr>
              <w:t>1-1</w:t>
            </w:r>
            <w:r>
              <w:rPr>
                <w:rFonts w:hint="eastAsia" w:ascii="宋体" w:hAnsi="宋体" w:eastAsia="宋体"/>
                <w:spacing w:val="-6"/>
                <w:sz w:val="24"/>
              </w:rPr>
              <w:t>《南平市绿色产业界定表》</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2</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科技特派员情况</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具有省级、市级科技特派员</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2</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绿色业务收入或成本占比</w:t>
            </w:r>
          </w:p>
        </w:tc>
        <w:tc>
          <w:tcPr>
            <w:tcW w:w="26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rPr>
                <w:rFonts w:ascii="宋体" w:hAnsi="宋体" w:eastAsia="宋体" w:cs="黑体"/>
                <w:sz w:val="24"/>
              </w:rPr>
            </w:pPr>
            <w:r>
              <w:rPr>
                <w:rFonts w:hint="eastAsia" w:ascii="宋体" w:hAnsi="宋体" w:eastAsia="宋体"/>
                <w:sz w:val="24"/>
              </w:rPr>
              <w:t>最近一年合并财务报表中绿色产业营业收入或营业利润或成本占总收入或总营业利润或总成本的比重</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40</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参与碳交易市场的企业</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2</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最近一年合并财务报表中绿色产业营业收入或营业利润或成本占总收入或总营业利润或总成本的比重大于</w:t>
            </w:r>
            <w:r>
              <w:rPr>
                <w:rFonts w:ascii="宋体" w:hAnsi="宋体" w:eastAsia="宋体"/>
                <w:sz w:val="24"/>
              </w:rPr>
              <w:t>95</w:t>
            </w:r>
            <w:r>
              <w:rPr>
                <w:rFonts w:hint="eastAsia" w:ascii="宋体" w:hAnsi="宋体" w:eastAsia="宋体"/>
                <w:sz w:val="24"/>
              </w:rPr>
              <w:t>％（含）</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38</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最近一年合并财务报表中绿色产业营业收入或营业利润或成本占总收入或总营业利润或总成本的比重大于</w:t>
            </w:r>
            <w:r>
              <w:rPr>
                <w:rFonts w:ascii="宋体" w:hAnsi="宋体" w:eastAsia="宋体"/>
                <w:sz w:val="24"/>
              </w:rPr>
              <w:t>70</w:t>
            </w:r>
            <w:r>
              <w:rPr>
                <w:rFonts w:hint="eastAsia" w:ascii="宋体" w:hAnsi="宋体" w:eastAsia="宋体"/>
                <w:sz w:val="24"/>
              </w:rPr>
              <w:t>％（含）但小于</w:t>
            </w:r>
            <w:r>
              <w:rPr>
                <w:rFonts w:ascii="宋体" w:hAnsi="宋体" w:eastAsia="宋体"/>
                <w:sz w:val="24"/>
              </w:rPr>
              <w:t>95</w:t>
            </w:r>
            <w:r>
              <w:rPr>
                <w:rFonts w:hint="eastAsia" w:ascii="宋体" w:hAnsi="宋体" w:eastAsia="宋体"/>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33</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最近一年合并财务报表中绿色产业营业收入或营业利润或成本占总收入或总营业利润或总成本的比重大于</w:t>
            </w:r>
            <w:r>
              <w:rPr>
                <w:rFonts w:ascii="宋体" w:hAnsi="宋体" w:eastAsia="宋体"/>
                <w:sz w:val="24"/>
              </w:rPr>
              <w:t>50</w:t>
            </w:r>
            <w:r>
              <w:rPr>
                <w:rFonts w:hint="eastAsia" w:ascii="宋体" w:hAnsi="宋体" w:eastAsia="宋体"/>
                <w:sz w:val="24"/>
              </w:rPr>
              <w:t>％（含）但小于</w:t>
            </w:r>
            <w:r>
              <w:rPr>
                <w:rFonts w:ascii="宋体" w:hAnsi="宋体" w:eastAsia="宋体"/>
                <w:sz w:val="24"/>
              </w:rPr>
              <w:t>70</w:t>
            </w:r>
            <w:r>
              <w:rPr>
                <w:rFonts w:hint="eastAsia" w:ascii="宋体" w:hAnsi="宋体" w:eastAsia="宋体"/>
                <w:sz w:val="24"/>
              </w:rPr>
              <w:t>％，或绿色产业营业收入或营业利润或成本占总收入或总营业利润或总成本的比重虽小于</w:t>
            </w:r>
            <w:r>
              <w:rPr>
                <w:rFonts w:ascii="宋体" w:hAnsi="宋体" w:eastAsia="宋体"/>
                <w:sz w:val="24"/>
              </w:rPr>
              <w:t>50%</w:t>
            </w:r>
            <w:r>
              <w:rPr>
                <w:rFonts w:hint="eastAsia" w:ascii="宋体" w:hAnsi="宋体" w:eastAsia="宋体"/>
                <w:sz w:val="24"/>
              </w:rPr>
              <w:t>，但绿色产业领域业务收入和利润均在所有业务中最高，且均占到企业总收入和总利润的</w:t>
            </w:r>
            <w:r>
              <w:rPr>
                <w:rFonts w:ascii="宋体" w:hAnsi="宋体" w:eastAsia="宋体"/>
                <w:sz w:val="24"/>
              </w:rPr>
              <w:t>30%</w:t>
            </w:r>
            <w:r>
              <w:rPr>
                <w:rFonts w:hint="eastAsia" w:ascii="宋体" w:hAnsi="宋体" w:eastAsia="宋体"/>
                <w:sz w:val="24"/>
              </w:rPr>
              <w:t>以上</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28</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jc w:val="center"/>
              <w:rPr>
                <w:rFonts w:ascii="宋体" w:hAnsi="宋体" w:eastAsia="宋体" w:cs="黑体"/>
                <w:b/>
                <w:bCs/>
                <w:sz w:val="24"/>
              </w:rPr>
            </w:pPr>
            <w:r>
              <w:rPr>
                <w:rFonts w:hint="eastAsia" w:ascii="宋体" w:hAnsi="宋体" w:eastAsia="宋体"/>
                <w:b/>
                <w:bCs/>
                <w:sz w:val="24"/>
              </w:rPr>
              <w:t>绿色品牌</w:t>
            </w:r>
          </w:p>
          <w:p>
            <w:pPr>
              <w:adjustRightInd w:val="0"/>
              <w:snapToGrid w:val="0"/>
              <w:spacing w:before="84" w:beforeLines="20" w:after="84" w:afterLines="20" w:line="300" w:lineRule="exact"/>
              <w:ind w:firstLine="482" w:firstLineChars="200"/>
              <w:jc w:val="center"/>
              <w:rPr>
                <w:rFonts w:ascii="宋体" w:hAnsi="宋体" w:eastAsia="宋体" w:cs="黑体"/>
                <w:b/>
                <w:bCs/>
                <w:sz w:val="24"/>
              </w:rPr>
            </w:pPr>
            <w:r>
              <w:rPr>
                <w:rFonts w:hint="eastAsia" w:ascii="宋体" w:hAnsi="宋体" w:eastAsia="宋体"/>
                <w:b/>
                <w:bCs/>
                <w:sz w:val="24"/>
              </w:rPr>
              <w:t>（</w:t>
            </w:r>
            <w:r>
              <w:rPr>
                <w:rFonts w:ascii="宋体" w:hAnsi="宋体" w:eastAsia="宋体"/>
                <w:b/>
                <w:bCs/>
                <w:sz w:val="24"/>
              </w:rPr>
              <w:t>11</w:t>
            </w:r>
            <w:r>
              <w:rPr>
                <w:rFonts w:hint="eastAsia" w:ascii="宋体" w:hAnsi="宋体" w:eastAsia="宋体"/>
                <w:b/>
                <w:bCs/>
                <w:sz w:val="24"/>
              </w:rPr>
              <w:t>分）</w:t>
            </w: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hint="eastAsia" w:ascii="宋体" w:hAnsi="宋体" w:eastAsia="宋体"/>
                <w:sz w:val="24"/>
              </w:rPr>
              <w:t>原料</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原料未使用国家、行业明令禁止和淘汰的原辅材料</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3</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未使用国家、行业明令禁止和淘汰的原辅材料</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3</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企业提供原材料介绍，使用废弃物的应有相应说明。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b/>
                <w:bCs/>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hint="eastAsia" w:ascii="宋体" w:hAnsi="宋体" w:eastAsia="宋体"/>
                <w:sz w:val="24"/>
              </w:rPr>
              <w:t>产品</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产品列入“武夷山水”区域品牌产品目录；或绿色产品认证目录并获得绿色产品认证；或获得部分绿色属性（如：节能、低碳、节水、环保等）产品认证或取得绿色设计产品标识</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6</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满足任一一项即可</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6</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企业需提供产品相关认证标识。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b/>
                <w:bCs/>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hint="eastAsia" w:ascii="宋体" w:hAnsi="宋体" w:eastAsia="宋体"/>
                <w:sz w:val="24"/>
              </w:rPr>
              <w:t>绿色技术研发</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绿色低碳技术研发投入</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有节能减排类等绿色低碳技术的</w:t>
            </w:r>
            <w:r>
              <w:rPr>
                <w:rFonts w:ascii="宋体" w:hAnsi="宋体" w:eastAsia="宋体"/>
                <w:sz w:val="24"/>
              </w:rPr>
              <w:t>R&amp;D</w:t>
            </w:r>
            <w:r>
              <w:rPr>
                <w:rFonts w:hint="eastAsia" w:ascii="宋体" w:hAnsi="宋体" w:eastAsia="宋体"/>
                <w:sz w:val="24"/>
              </w:rPr>
              <w:t>投入</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企业提供盖章版自证说明。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jc w:val="center"/>
              <w:rPr>
                <w:rFonts w:ascii="宋体" w:hAnsi="宋体" w:eastAsia="宋体" w:cs="黑体"/>
                <w:b/>
                <w:bCs/>
                <w:sz w:val="24"/>
              </w:rPr>
            </w:pPr>
            <w:r>
              <w:rPr>
                <w:rFonts w:hint="eastAsia" w:ascii="宋体" w:hAnsi="宋体" w:eastAsia="宋体"/>
                <w:b/>
                <w:bCs/>
                <w:sz w:val="24"/>
              </w:rPr>
              <w:t>降碳减污</w:t>
            </w:r>
          </w:p>
          <w:p>
            <w:pPr>
              <w:pStyle w:val="5"/>
              <w:adjustRightInd w:val="0"/>
              <w:snapToGrid w:val="0"/>
              <w:spacing w:before="84" w:beforeLines="20" w:after="84" w:afterLines="20" w:line="300" w:lineRule="exact"/>
              <w:ind w:left="0" w:leftChars="0" w:firstLine="0" w:firstLineChars="0"/>
              <w:jc w:val="center"/>
              <w:rPr>
                <w:rFonts w:ascii="宋体" w:hAnsi="宋体"/>
                <w:b/>
                <w:bCs/>
              </w:rPr>
            </w:pPr>
            <w:r>
              <w:rPr>
                <w:rFonts w:hint="eastAsia" w:ascii="宋体" w:hAnsi="宋体"/>
                <w:b/>
                <w:bCs/>
              </w:rPr>
              <w:t>（</w:t>
            </w:r>
            <w:r>
              <w:rPr>
                <w:rFonts w:ascii="宋体" w:hAnsi="宋体"/>
                <w:b/>
                <w:bCs/>
              </w:rPr>
              <w:t>20</w:t>
            </w:r>
            <w:r>
              <w:rPr>
                <w:rFonts w:hint="eastAsia" w:ascii="宋体" w:hAnsi="宋体"/>
                <w:b/>
                <w:bCs/>
              </w:rPr>
              <w:t>分）</w:t>
            </w: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p>
            <w:pPr>
              <w:spacing w:before="84" w:after="84"/>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hint="eastAsia" w:ascii="宋体" w:hAnsi="宋体" w:eastAsia="宋体"/>
                <w:sz w:val="24"/>
              </w:rPr>
              <w:t>环境管理制度</w:t>
            </w:r>
          </w:p>
        </w:tc>
        <w:tc>
          <w:tcPr>
            <w:tcW w:w="26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建立或实施环境管理的相应制度</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环境管理制度完善且取得环境管理体系认证证书</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1</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企业提供环境管理制度，根据制度确认是否归口管理。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制定环境管理制度</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1</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hint="eastAsia" w:ascii="宋体" w:hAnsi="宋体" w:eastAsia="宋体"/>
                <w:sz w:val="24"/>
              </w:rPr>
              <w:t>低碳资源利用</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实施建筑节能减排或采用绿色装备</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新建绿色建筑，并获得绿色建筑标识或对既有建筑进行节能改造或选用列入国家或地方节能、环保相关装备推荐目录的绿色装备设备</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企业提供绿色建筑设计</w:t>
            </w:r>
            <w:r>
              <w:rPr>
                <w:rFonts w:ascii="宋体" w:hAnsi="宋体" w:eastAsia="宋体"/>
                <w:sz w:val="24"/>
              </w:rPr>
              <w:t>/</w:t>
            </w:r>
            <w:r>
              <w:rPr>
                <w:rFonts w:hint="eastAsia" w:ascii="宋体" w:hAnsi="宋体" w:eastAsia="宋体"/>
                <w:sz w:val="24"/>
              </w:rPr>
              <w:t>运营标识或预评价意见或建筑节能改造或装备说明文件相关说明材料。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近三年循环经济项目建设</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近三年建设的项目进入《福建省节能循环经济项目》清单</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企业需提供相关政府证明文件。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废弃物资源及水资源循环利用水平</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有废弃物资源或水资源循环利用情形</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hint="eastAsia" w:ascii="宋体" w:hAnsi="宋体" w:eastAsia="宋体"/>
                <w:sz w:val="24"/>
              </w:rPr>
              <w:t>低碳能源结构</w:t>
            </w:r>
          </w:p>
        </w:tc>
        <w:tc>
          <w:tcPr>
            <w:tcW w:w="26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单位产品能耗</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3</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highlight w:val="yellow"/>
              </w:rPr>
            </w:pPr>
            <w:r>
              <w:rPr>
                <w:rFonts w:hint="eastAsia" w:ascii="宋体" w:hAnsi="宋体" w:eastAsia="宋体"/>
                <w:sz w:val="24"/>
              </w:rPr>
              <w:t>近三年企业单位产品能耗同比下降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1</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企业提供节能评估报告、能源审计报告、产品能耗监督性监测数据、第三方机构出具的节能监测报告、政府文件等材料。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highlight w:val="yellow"/>
              </w:rPr>
            </w:pPr>
            <w:r>
              <w:rPr>
                <w:rFonts w:hint="eastAsia" w:ascii="宋体" w:hAnsi="宋体" w:eastAsia="宋体"/>
                <w:sz w:val="24"/>
              </w:rPr>
              <w:t>企业开展节能监测</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1</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近三年建设的项目被列入《南平市重点工业投资（含技改）项目》清单</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1</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26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清洁能源或废弃能源的优先使用</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使用可再生能源对化石能源进替代</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1</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企业提供说明文件，如项目可研、批复文件等。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实现废热、余热、余压等能源利用</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1</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黑体"/>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电气化率</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近三年电能消费占能源消费中的比例有提升</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企业提供说明文件，包括盖章版的企业近三年年度电能消费值及年度能源消费值。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sz w:val="24"/>
              </w:rPr>
            </w:pPr>
            <w:r>
              <w:rPr>
                <w:rFonts w:hint="eastAsia" w:ascii="宋体" w:hAnsi="宋体" w:eastAsia="宋体"/>
                <w:sz w:val="24"/>
              </w:rPr>
              <w:t>污染防治</w:t>
            </w:r>
          </w:p>
          <w:p>
            <w:pPr>
              <w:adjustRightInd w:val="0"/>
              <w:snapToGrid w:val="0"/>
              <w:spacing w:before="84" w:beforeLines="20" w:after="84" w:afterLines="20" w:line="300" w:lineRule="exact"/>
              <w:ind w:firstLine="480"/>
              <w:jc w:val="center"/>
              <w:rPr>
                <w:rFonts w:ascii="宋体" w:hAnsi="宋体" w:eastAsia="宋体" w:cs="黑体"/>
                <w:sz w:val="24"/>
              </w:rPr>
            </w:pPr>
          </w:p>
        </w:tc>
        <w:tc>
          <w:tcPr>
            <w:tcW w:w="26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主要污染物排放检测指标满足国家标准及地方标准</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主要污染物排放检测指标满足国家标准及地方标准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jc w:val="center"/>
              <w:rPr>
                <w:rFonts w:ascii="宋体" w:hAnsi="宋体" w:eastAsia="宋体" w:cs="黑体"/>
                <w:sz w:val="24"/>
              </w:rPr>
            </w:pPr>
            <w:r>
              <w:rPr>
                <w:rFonts w:ascii="宋体" w:hAnsi="宋体" w:eastAsia="宋体"/>
                <w:sz w:val="24"/>
              </w:rPr>
              <w:t>1</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00" w:lineRule="exact"/>
              <w:ind w:firstLine="480" w:firstLineChars="200"/>
              <w:jc w:val="center"/>
              <w:rPr>
                <w:rFonts w:ascii="宋体" w:hAnsi="宋体" w:eastAsia="宋体" w:cs="黑体"/>
                <w:sz w:val="24"/>
              </w:rPr>
            </w:pPr>
            <w:r>
              <w:rPr>
                <w:rFonts w:hint="eastAsia" w:ascii="宋体" w:hAnsi="宋体" w:eastAsia="宋体"/>
                <w:sz w:val="24"/>
              </w:rPr>
              <w:t>企业提供近一年内监督性监测数据和委托检测报告。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排放浓度低于排放标准</w:t>
            </w:r>
            <w:r>
              <w:rPr>
                <w:rFonts w:ascii="宋体" w:hAnsi="宋体" w:eastAsia="宋体"/>
                <w:sz w:val="24"/>
              </w:rPr>
              <w:t>30%</w:t>
            </w:r>
            <w:r>
              <w:rPr>
                <w:rFonts w:hint="eastAsia" w:ascii="宋体" w:hAnsi="宋体" w:eastAsia="宋体"/>
                <w:sz w:val="24"/>
              </w:rPr>
              <w:t>（含）</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1</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主动通过媒体、官方网站和监管网站等公开渠道披露环境信息</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1</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企业主动通过媒体、官方网站和监管网站等公开渠道披露环境信息</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1</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企业提供最近一年的环境信息披露信息及公开查询路径。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清洁生产</w:t>
            </w:r>
          </w:p>
        </w:tc>
        <w:tc>
          <w:tcPr>
            <w:tcW w:w="26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清洁生产审核</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企业开展自愿性清洁生产审核</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1</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企业提供企业清洁生产审核报告，和官方网站的公开信息包括强审名单、审核结果等。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清洁生产等级为二级或三级</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1</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jc w:val="center"/>
              <w:rPr>
                <w:rFonts w:ascii="宋体" w:hAnsi="宋体" w:eastAsia="宋体" w:cs="黑体"/>
                <w:b/>
                <w:bCs/>
                <w:sz w:val="24"/>
              </w:rPr>
            </w:pPr>
            <w:r>
              <w:rPr>
                <w:rFonts w:hint="eastAsia" w:ascii="宋体" w:hAnsi="宋体" w:eastAsia="宋体"/>
                <w:b/>
                <w:bCs/>
                <w:sz w:val="24"/>
              </w:rPr>
              <w:t>社会责任</w:t>
            </w:r>
            <w:r>
              <w:rPr>
                <w:rFonts w:ascii="宋体" w:hAnsi="宋体" w:eastAsia="宋体"/>
                <w:b/>
                <w:bCs/>
                <w:sz w:val="24"/>
              </w:rPr>
              <w:br w:type="textWrapping"/>
            </w:r>
            <w:r>
              <w:rPr>
                <w:rFonts w:hint="eastAsia" w:ascii="宋体" w:hAnsi="宋体" w:eastAsia="宋体"/>
                <w:b/>
                <w:bCs/>
                <w:sz w:val="24"/>
              </w:rPr>
              <w:t>（</w:t>
            </w:r>
            <w:r>
              <w:rPr>
                <w:rFonts w:ascii="宋体" w:hAnsi="宋体" w:eastAsia="宋体"/>
                <w:b/>
                <w:bCs/>
                <w:sz w:val="24"/>
              </w:rPr>
              <w:t>8</w:t>
            </w:r>
            <w:r>
              <w:rPr>
                <w:rFonts w:hint="eastAsia" w:ascii="宋体" w:hAnsi="宋体" w:eastAsia="宋体"/>
                <w:b/>
                <w:bCs/>
                <w:sz w:val="24"/>
              </w:rPr>
              <w:t>分）</w:t>
            </w: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员工责任与安全生产</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制定过职业健康安全管理体系或生产安全事故应急预案</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4</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已经制定职业健康安全管理体系或已经制定生产安全事故应急预案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4</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企业提供职业健康安全管理体系文件或生产安全事故应急预案。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公共关系及信息披露</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参与公益慈善活动或定期向社会发布《企业社会责任报告》或</w:t>
            </w:r>
            <w:r>
              <w:rPr>
                <w:rFonts w:ascii="宋体" w:hAnsi="宋体" w:eastAsia="宋体"/>
                <w:sz w:val="24"/>
              </w:rPr>
              <w:t> ESG</w:t>
            </w:r>
            <w:r>
              <w:rPr>
                <w:rFonts w:hint="eastAsia" w:ascii="宋体" w:hAnsi="宋体" w:eastAsia="宋体"/>
                <w:sz w:val="24"/>
              </w:rPr>
              <w:t>报告或《可持续发展报告》</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4</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参与公益慈善活动或定期向社会发布《企业社会责任报告》</w:t>
            </w:r>
            <w:r>
              <w:rPr>
                <w:rFonts w:ascii="宋体" w:hAnsi="宋体" w:eastAsia="宋体"/>
                <w:sz w:val="24"/>
              </w:rPr>
              <w:t>ESG</w:t>
            </w:r>
            <w:r>
              <w:rPr>
                <w:rFonts w:hint="eastAsia" w:ascii="宋体" w:hAnsi="宋体" w:eastAsia="宋体"/>
                <w:sz w:val="24"/>
              </w:rPr>
              <w:t>报告或《可持续发展报告》</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4</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企业提供照片、网址等证明材料。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jc w:val="center"/>
              <w:rPr>
                <w:rFonts w:ascii="宋体" w:hAnsi="宋体" w:eastAsia="宋体" w:cs="黑体"/>
                <w:b/>
                <w:bCs/>
                <w:sz w:val="24"/>
              </w:rPr>
            </w:pPr>
            <w:r>
              <w:rPr>
                <w:rFonts w:hint="eastAsia" w:ascii="宋体" w:hAnsi="宋体" w:eastAsia="宋体"/>
                <w:b/>
                <w:bCs/>
                <w:sz w:val="24"/>
              </w:rPr>
              <w:t>公司治理</w:t>
            </w:r>
            <w:r>
              <w:rPr>
                <w:rFonts w:ascii="宋体" w:hAnsi="宋体" w:eastAsia="宋体"/>
                <w:b/>
                <w:bCs/>
                <w:sz w:val="24"/>
              </w:rPr>
              <w:br w:type="textWrapping"/>
            </w:r>
            <w:r>
              <w:rPr>
                <w:rFonts w:hint="eastAsia" w:ascii="宋体" w:hAnsi="宋体" w:eastAsia="宋体"/>
                <w:b/>
                <w:bCs/>
                <w:sz w:val="24"/>
              </w:rPr>
              <w:t>（</w:t>
            </w:r>
            <w:r>
              <w:rPr>
                <w:rFonts w:ascii="宋体" w:hAnsi="宋体" w:eastAsia="宋体"/>
                <w:b/>
                <w:bCs/>
                <w:sz w:val="24"/>
              </w:rPr>
              <w:t>8</w:t>
            </w:r>
            <w:r>
              <w:rPr>
                <w:rFonts w:hint="eastAsia" w:ascii="宋体" w:hAnsi="宋体" w:eastAsia="宋体"/>
                <w:b/>
                <w:bCs/>
                <w:sz w:val="24"/>
              </w:rPr>
              <w:t>分）</w:t>
            </w: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管理制度</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建立或实施质量、能源管理制度</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2</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建立质量或能源管理制度</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企业提供质量、能源管理制度文件。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低碳战略</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制定或实施企业绿色发展相关战略</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3</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制定或实施企业低碳发展或绿色发展相关战略</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3</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企业提供低碳发展或绿色发展相关战略文件。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黑体"/>
                <w:b/>
                <w:bCs/>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hint="eastAsia" w:ascii="宋体" w:hAnsi="宋体" w:eastAsia="宋体"/>
                <w:sz w:val="24"/>
              </w:rPr>
              <w:t>购置绿色保险</w:t>
            </w:r>
          </w:p>
        </w:tc>
        <w:tc>
          <w:tcPr>
            <w:tcW w:w="2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购置环境污染责任保险、安全生产责任保险、食品安全责任保险等传统绿色保险产品或贷款保证保险、工程质量潜在缺陷保险、绿色农业保险、药品置换责任保险、碳排放配额质押贷款保证保险等创新型绿色保险产品。</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ascii="宋体" w:hAnsi="宋体" w:eastAsia="宋体"/>
                <w:sz w:val="24"/>
              </w:rPr>
              <w:t>3</w:t>
            </w:r>
          </w:p>
        </w:tc>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购置任一绿色保险即可</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3</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企业提供绿色保险保单。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91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2" w:firstLineChars="200"/>
              <w:jc w:val="center"/>
              <w:rPr>
                <w:rFonts w:ascii="宋体" w:hAnsi="宋体" w:eastAsia="宋体" w:cs="黑体"/>
                <w:b/>
                <w:bCs/>
                <w:sz w:val="24"/>
              </w:rPr>
            </w:pPr>
            <w:r>
              <w:rPr>
                <w:rFonts w:hint="eastAsia" w:ascii="宋体" w:hAnsi="宋体" w:eastAsia="宋体"/>
                <w:b/>
                <w:bCs/>
                <w:sz w:val="24"/>
              </w:rPr>
              <w:t>除上述评价指标外，企业在绿色经营、低碳转型、环境保护、社会责任、公司治理等方面有贡献；或进入“武夷山水”品牌质量链试点的企业。</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jc w:val="center"/>
              <w:rPr>
                <w:rFonts w:ascii="宋体" w:hAnsi="宋体" w:eastAsia="宋体" w:cs="黑体"/>
                <w:sz w:val="24"/>
              </w:rPr>
            </w:pPr>
            <w:r>
              <w:rPr>
                <w:rFonts w:ascii="宋体" w:hAnsi="宋体" w:eastAsia="宋体"/>
                <w:sz w:val="24"/>
              </w:rPr>
              <w:t>5</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4" w:beforeLines="20" w:after="84" w:afterLines="20" w:line="320" w:lineRule="exact"/>
              <w:ind w:firstLine="480" w:firstLineChars="200"/>
              <w:jc w:val="center"/>
              <w:rPr>
                <w:rFonts w:ascii="宋体" w:hAnsi="宋体" w:eastAsia="宋体" w:cs="黑体"/>
                <w:sz w:val="24"/>
              </w:rPr>
            </w:pPr>
            <w:r>
              <w:rPr>
                <w:rFonts w:hint="eastAsia" w:ascii="宋体" w:hAnsi="宋体" w:eastAsia="宋体"/>
                <w:sz w:val="24"/>
              </w:rPr>
              <w:t>企业提供相关说明文件。</w:t>
            </w:r>
          </w:p>
        </w:tc>
      </w:tr>
    </w:tbl>
    <w:p>
      <w:pPr>
        <w:pStyle w:val="3"/>
        <w:spacing w:before="65" w:after="65"/>
        <w:rPr>
          <w:rFonts w:ascii="宋体" w:hAnsi="宋体" w:eastAsia="宋体" w:cs="Times New Roman"/>
          <w:b w:val="0"/>
          <w:color w:val="0C0C0C"/>
          <w:sz w:val="24"/>
          <w:szCs w:val="24"/>
          <w:lang w:val="en"/>
        </w:rPr>
      </w:pPr>
      <w:r>
        <w:rPr>
          <w:rFonts w:hint="eastAsia" w:ascii="宋体" w:hAnsi="宋体" w:eastAsia="宋体" w:cs="Times New Roman"/>
          <w:b w:val="0"/>
          <w:color w:val="0C0C0C"/>
          <w:sz w:val="24"/>
          <w:szCs w:val="24"/>
        </w:rPr>
        <w:t>备注：综合得分根据评分标准对照，即可确认绿色企业的最终评价结果：分值≥</w:t>
      </w:r>
      <w:r>
        <w:rPr>
          <w:rFonts w:ascii="宋体" w:hAnsi="宋体" w:eastAsia="宋体" w:cs="Times New Roman"/>
          <w:b w:val="0"/>
          <w:color w:val="0C0C0C"/>
          <w:sz w:val="24"/>
          <w:szCs w:val="24"/>
        </w:rPr>
        <w:t>60，企业为深绿企业，主营业务环境改善贡献度非常高，环境和社会表现非常出色；50≤分值＜60，企业为中绿企业，企业主营业务环境改善贡献度很高，环境和社会表现很出色；</w:t>
      </w:r>
      <w:r>
        <w:rPr>
          <w:rFonts w:ascii="宋体" w:hAnsi="宋体" w:eastAsia="宋体" w:cs="Times New Roman"/>
          <w:b w:val="0"/>
          <w:color w:val="0C0C0C"/>
          <w:sz w:val="24"/>
          <w:szCs w:val="24"/>
          <w:lang w:val="en"/>
        </w:rPr>
        <w:t>40</w:t>
      </w:r>
      <w:r>
        <w:rPr>
          <w:rFonts w:hint="eastAsia" w:ascii="宋体" w:hAnsi="宋体" w:eastAsia="宋体" w:cs="Times New Roman"/>
          <w:b w:val="0"/>
          <w:color w:val="0C0C0C"/>
          <w:sz w:val="24"/>
          <w:szCs w:val="24"/>
        </w:rPr>
        <w:t>≤分值＜</w:t>
      </w:r>
      <w:r>
        <w:rPr>
          <w:rFonts w:ascii="宋体" w:hAnsi="宋体" w:eastAsia="宋体" w:cs="Times New Roman"/>
          <w:b w:val="0"/>
          <w:color w:val="0C0C0C"/>
          <w:sz w:val="24"/>
          <w:szCs w:val="24"/>
          <w:lang w:val="en"/>
        </w:rPr>
        <w:t>5</w:t>
      </w:r>
      <w:r>
        <w:rPr>
          <w:rFonts w:ascii="宋体" w:hAnsi="宋体" w:eastAsia="宋体" w:cs="Times New Roman"/>
          <w:b w:val="0"/>
          <w:color w:val="0C0C0C"/>
          <w:sz w:val="24"/>
          <w:szCs w:val="24"/>
        </w:rPr>
        <w:t>0，企业为浅绿企业，企业主营业务环境改善贡献度较高，环境和社会表现较出色；分值＜40，不符合本认证标准。</w:t>
      </w:r>
    </w:p>
    <w:p>
      <w:pPr>
        <w:widowControl/>
        <w:jc w:val="left"/>
        <w:rPr>
          <w:rFonts w:eastAsia="楷体"/>
          <w:b/>
          <w:bCs/>
          <w:sz w:val="30"/>
          <w:szCs w:val="30"/>
        </w:rPr>
        <w:sectPr>
          <w:footerReference r:id="rId3" w:type="even"/>
          <w:pgSz w:w="16838" w:h="11906" w:orient="landscape"/>
          <w:pgMar w:top="1800" w:right="1440" w:bottom="1800" w:left="1440" w:header="720" w:footer="992" w:gutter="0"/>
          <w:cols w:space="720" w:num="1"/>
          <w:docGrid w:type="lines" w:linePitch="422" w:charSpace="0"/>
        </w:sectPr>
      </w:pPr>
    </w:p>
    <w:p>
      <w:pPr>
        <w:widowControl/>
        <w:jc w:val="center"/>
        <w:rPr>
          <w:rFonts w:ascii="宋体" w:hAnsi="宋体" w:eastAsia="方正小标宋简体"/>
          <w:sz w:val="36"/>
        </w:rPr>
      </w:pPr>
      <w:bookmarkStart w:id="13" w:name="_Toc75783261"/>
      <w:bookmarkEnd w:id="13"/>
      <w:bookmarkStart w:id="14" w:name="_Toc75783274"/>
      <w:r>
        <w:rPr>
          <w:rFonts w:hint="eastAsia" w:ascii="宋体" w:hAnsi="宋体" w:eastAsia="方正小标宋简体"/>
          <w:sz w:val="36"/>
        </w:rPr>
        <w:t>南平市绿色企业及绿色项目评价认定办法（简版）</w:t>
      </w:r>
    </w:p>
    <w:p>
      <w:pPr>
        <w:pStyle w:val="2"/>
        <w:spacing w:before="97" w:line="610" w:lineRule="exact"/>
        <w:ind w:firstLine="643" w:firstLineChars="200"/>
        <w:jc w:val="center"/>
        <w:rPr>
          <w:rFonts w:ascii="楷体_GB2312" w:hAnsi="宋体" w:eastAsia="楷体_GB2312"/>
          <w:szCs w:val="32"/>
        </w:rPr>
      </w:pPr>
      <w:r>
        <w:rPr>
          <w:rFonts w:hint="eastAsia" w:ascii="楷体_GB2312" w:hAnsi="宋体" w:eastAsia="楷体_GB2312"/>
          <w:szCs w:val="32"/>
        </w:rPr>
        <w:t>（绿色项目评价部分）</w:t>
      </w:r>
    </w:p>
    <w:p>
      <w:pPr>
        <w:keepNext/>
        <w:keepLines/>
        <w:adjustRightInd w:val="0"/>
        <w:snapToGrid w:val="0"/>
        <w:spacing w:line="620" w:lineRule="exact"/>
        <w:ind w:firstLine="643"/>
        <w:outlineLvl w:val="0"/>
        <w:rPr>
          <w:rFonts w:ascii="黑体" w:eastAsia="黑体"/>
          <w:kern w:val="44"/>
          <w:sz w:val="32"/>
          <w:szCs w:val="32"/>
        </w:rPr>
      </w:pPr>
      <w:r>
        <w:rPr>
          <w:rFonts w:hint="eastAsia" w:ascii="黑体" w:eastAsia="黑体"/>
          <w:b/>
          <w:bCs/>
          <w:kern w:val="44"/>
          <w:sz w:val="32"/>
          <w:szCs w:val="32"/>
        </w:rPr>
        <w:t xml:space="preserve">   </w:t>
      </w:r>
      <w:r>
        <w:rPr>
          <w:rFonts w:hint="eastAsia" w:ascii="黑体" w:eastAsia="黑体"/>
          <w:kern w:val="44"/>
          <w:sz w:val="32"/>
          <w:szCs w:val="32"/>
        </w:rPr>
        <w:t xml:space="preserve"> </w:t>
      </w:r>
    </w:p>
    <w:p>
      <w:pPr>
        <w:keepNext/>
        <w:keepLines/>
        <w:adjustRightInd w:val="0"/>
        <w:snapToGrid w:val="0"/>
        <w:spacing w:line="620" w:lineRule="exact"/>
        <w:ind w:firstLine="640" w:firstLineChars="200"/>
        <w:outlineLvl w:val="0"/>
        <w:rPr>
          <w:rFonts w:ascii="黑体" w:eastAsia="黑体"/>
          <w:kern w:val="44"/>
          <w:sz w:val="32"/>
          <w:szCs w:val="32"/>
        </w:rPr>
      </w:pPr>
      <w:r>
        <w:rPr>
          <w:rFonts w:hint="eastAsia" w:ascii="黑体" w:eastAsia="黑体"/>
          <w:kern w:val="44"/>
          <w:sz w:val="32"/>
          <w:szCs w:val="32"/>
        </w:rPr>
        <w:t>一、术语和定义</w:t>
      </w:r>
      <w:bookmarkEnd w:id="14"/>
    </w:p>
    <w:p>
      <w:pPr>
        <w:keepNext/>
        <w:keepLines/>
        <w:adjustRightInd w:val="0"/>
        <w:snapToGrid w:val="0"/>
        <w:spacing w:line="620" w:lineRule="exact"/>
        <w:ind w:firstLine="640" w:firstLineChars="200"/>
        <w:outlineLvl w:val="0"/>
        <w:rPr>
          <w:rFonts w:ascii="仿宋_GB2312"/>
          <w:bCs/>
          <w:kern w:val="44"/>
          <w:sz w:val="32"/>
          <w:szCs w:val="32"/>
        </w:rPr>
      </w:pPr>
      <w:r>
        <w:rPr>
          <w:rFonts w:hint="eastAsia" w:ascii="仿宋_GB2312"/>
          <w:bCs/>
          <w:kern w:val="44"/>
          <w:sz w:val="32"/>
          <w:szCs w:val="32"/>
        </w:rPr>
        <w:t>本办法所称绿色项目是指有利于支持环境改善、适应或减缓气候变化和资源节约高效利用的项目。</w:t>
      </w:r>
    </w:p>
    <w:p>
      <w:pPr>
        <w:keepNext/>
        <w:keepLines/>
        <w:adjustRightInd w:val="0"/>
        <w:snapToGrid w:val="0"/>
        <w:spacing w:line="620" w:lineRule="exact"/>
        <w:ind w:firstLine="640"/>
        <w:outlineLvl w:val="0"/>
        <w:rPr>
          <w:rFonts w:ascii="黑体" w:eastAsia="黑体"/>
          <w:bCs/>
          <w:kern w:val="44"/>
          <w:sz w:val="32"/>
          <w:szCs w:val="32"/>
        </w:rPr>
      </w:pPr>
      <w:r>
        <w:rPr>
          <w:rFonts w:hint="eastAsia" w:ascii="黑体" w:eastAsia="黑体"/>
          <w:bCs/>
          <w:kern w:val="44"/>
          <w:sz w:val="32"/>
          <w:szCs w:val="32"/>
        </w:rPr>
        <w:t>二、参评条件</w:t>
      </w:r>
    </w:p>
    <w:p>
      <w:pPr>
        <w:keepNext/>
        <w:keepLines/>
        <w:spacing w:line="620" w:lineRule="exact"/>
        <w:ind w:firstLine="643"/>
        <w:jc w:val="left"/>
        <w:outlineLvl w:val="1"/>
        <w:rPr>
          <w:b/>
          <w:bCs/>
          <w:sz w:val="32"/>
        </w:rPr>
      </w:pPr>
      <w:r>
        <w:rPr>
          <w:rFonts w:hint="eastAsia" w:eastAsia="楷体_GB2312"/>
          <w:b/>
          <w:bCs/>
          <w:sz w:val="32"/>
          <w:szCs w:val="32"/>
        </w:rPr>
        <w:t>（一）参评项目</w:t>
      </w:r>
    </w:p>
    <w:p>
      <w:pPr>
        <w:spacing w:line="620" w:lineRule="exact"/>
        <w:ind w:firstLine="726" w:firstLineChars="227"/>
        <w:rPr>
          <w:rFonts w:ascii="仿宋_GB2312" w:hAnsi="仿宋_GB2312" w:cs="仿宋_GB2312"/>
          <w:sz w:val="32"/>
        </w:rPr>
      </w:pPr>
      <w:r>
        <w:rPr>
          <w:rFonts w:hint="eastAsia" w:ascii="仿宋_GB2312" w:hAnsi="仿宋_GB2312" w:cs="仿宋_GB2312"/>
          <w:sz w:val="32"/>
          <w:lang w:val="en"/>
        </w:rPr>
        <w:t>1.</w:t>
      </w:r>
      <w:r>
        <w:rPr>
          <w:rFonts w:hint="eastAsia" w:ascii="仿宋_GB2312" w:hAnsi="仿宋_GB2312" w:cs="仿宋_GB2312"/>
          <w:sz w:val="32"/>
        </w:rPr>
        <w:t>属于《南平市绿色项目目录》所列项目范围且满足对应评价要求；</w:t>
      </w:r>
    </w:p>
    <w:p>
      <w:pPr>
        <w:spacing w:line="620" w:lineRule="exact"/>
        <w:ind w:firstLine="726" w:firstLineChars="227"/>
        <w:rPr>
          <w:rFonts w:ascii="仿宋_GB2312" w:hAnsi="仿宋_GB2312" w:cs="仿宋_GB2312"/>
          <w:sz w:val="32"/>
        </w:rPr>
      </w:pPr>
      <w:r>
        <w:rPr>
          <w:rFonts w:hint="eastAsia" w:ascii="仿宋_GB2312" w:hAnsi="仿宋_GB2312" w:cs="仿宋_GB2312"/>
          <w:sz w:val="32"/>
          <w:lang w:val="en"/>
        </w:rPr>
        <w:t>2.</w:t>
      </w:r>
      <w:r>
        <w:rPr>
          <w:rFonts w:hint="eastAsia" w:ascii="仿宋_GB2312" w:hAnsi="仿宋_GB2312" w:cs="仿宋_GB2312"/>
          <w:sz w:val="32"/>
        </w:rPr>
        <w:t>项目所在地属于福建省南平市及其受托管理和下辖园区范围内；</w:t>
      </w:r>
    </w:p>
    <w:p>
      <w:pPr>
        <w:spacing w:line="620" w:lineRule="exact"/>
        <w:ind w:firstLine="726" w:firstLineChars="227"/>
        <w:rPr>
          <w:rFonts w:ascii="仿宋_GB2312" w:hAnsi="仿宋_GB2312" w:cs="仿宋_GB2312"/>
          <w:sz w:val="32"/>
        </w:rPr>
      </w:pPr>
      <w:r>
        <w:rPr>
          <w:rFonts w:hint="eastAsia" w:ascii="仿宋_GB2312" w:hAnsi="仿宋_GB2312" w:cs="仿宋_GB2312"/>
          <w:sz w:val="32"/>
          <w:lang w:val="en"/>
        </w:rPr>
        <w:t>3.</w:t>
      </w:r>
      <w:r>
        <w:rPr>
          <w:rFonts w:hint="eastAsia" w:ascii="仿宋_GB2312" w:hAnsi="仿宋_GB2312" w:cs="仿宋_GB2312"/>
          <w:sz w:val="32"/>
        </w:rPr>
        <w:t>国家和福建省制定的产业政策、用地政策、环保政策、节能政策；</w:t>
      </w:r>
    </w:p>
    <w:p>
      <w:pPr>
        <w:spacing w:line="620" w:lineRule="exact"/>
        <w:ind w:firstLine="726" w:firstLineChars="227"/>
        <w:rPr>
          <w:rFonts w:ascii="仿宋_GB2312" w:hAnsi="仿宋_GB2312" w:cs="仿宋_GB2312"/>
          <w:spacing w:val="-4"/>
          <w:sz w:val="32"/>
          <w:szCs w:val="32"/>
        </w:rPr>
      </w:pPr>
      <w:r>
        <w:rPr>
          <w:rFonts w:hint="eastAsia" w:ascii="仿宋_GB2312" w:hAnsi="仿宋_GB2312" w:cs="仿宋_GB2312"/>
          <w:sz w:val="32"/>
          <w:lang w:val="en"/>
        </w:rPr>
        <w:t>4.</w:t>
      </w:r>
      <w:r>
        <w:rPr>
          <w:rFonts w:hint="eastAsia" w:ascii="仿宋_GB2312" w:hAnsi="仿宋_GB2312" w:cs="仿宋_GB2312"/>
          <w:spacing w:val="-4"/>
          <w:sz w:val="32"/>
          <w:szCs w:val="32"/>
        </w:rPr>
        <w:t>须达到地方和相关行业的环保标准。项目所在地区有污染物排放限值的，应满足相应的污染物排放限值，同时还需满足所处行业特征污染物或重点控制污染物的排放标准；</w:t>
      </w:r>
    </w:p>
    <w:p>
      <w:pPr>
        <w:spacing w:line="620" w:lineRule="exact"/>
        <w:ind w:firstLine="726" w:firstLineChars="227"/>
        <w:rPr>
          <w:rFonts w:ascii="仿宋_GB2312" w:hAnsi="仿宋_GB2312" w:cs="仿宋_GB2312"/>
          <w:sz w:val="32"/>
        </w:rPr>
      </w:pPr>
      <w:r>
        <w:rPr>
          <w:rFonts w:hint="eastAsia" w:ascii="仿宋_GB2312" w:hAnsi="仿宋_GB2312" w:cs="仿宋_GB2312"/>
          <w:sz w:val="32"/>
          <w:lang w:val="en"/>
        </w:rPr>
        <w:t>5.</w:t>
      </w:r>
      <w:r>
        <w:rPr>
          <w:rFonts w:hint="eastAsia" w:ascii="仿宋_GB2312" w:hAnsi="仿宋_GB2312" w:cs="仿宋_GB2312"/>
          <w:sz w:val="32"/>
        </w:rPr>
        <w:t>绿色项目认定申报时，应具备项目立项文件；</w:t>
      </w:r>
    </w:p>
    <w:p>
      <w:pPr>
        <w:spacing w:line="620" w:lineRule="exact"/>
        <w:ind w:firstLine="726" w:firstLineChars="227"/>
        <w:rPr>
          <w:rFonts w:ascii="仿宋_GB2312" w:hAnsi="仿宋_GB2312" w:cs="仿宋_GB2312"/>
          <w:sz w:val="32"/>
        </w:rPr>
      </w:pPr>
      <w:r>
        <w:rPr>
          <w:rFonts w:hint="eastAsia" w:ascii="仿宋_GB2312" w:hAnsi="仿宋_GB2312" w:cs="仿宋_GB2312"/>
          <w:sz w:val="32"/>
          <w:lang w:val="en"/>
        </w:rPr>
        <w:t>6.</w:t>
      </w:r>
      <w:r>
        <w:rPr>
          <w:rFonts w:hint="eastAsia" w:ascii="仿宋_GB2312" w:hAnsi="仿宋_GB2312" w:cs="仿宋_GB2312"/>
          <w:sz w:val="32"/>
        </w:rPr>
        <w:t>不在国家、省、市淘汰落后产能以及两高一剩产业目录里。</w:t>
      </w:r>
    </w:p>
    <w:p>
      <w:pPr>
        <w:keepNext/>
        <w:keepLines/>
        <w:spacing w:line="620" w:lineRule="exact"/>
        <w:ind w:firstLine="643"/>
        <w:jc w:val="left"/>
        <w:outlineLvl w:val="1"/>
        <w:rPr>
          <w:rFonts w:eastAsia="楷体_GB2312"/>
          <w:b/>
          <w:bCs/>
          <w:sz w:val="32"/>
          <w:szCs w:val="32"/>
        </w:rPr>
      </w:pPr>
      <w:r>
        <w:rPr>
          <w:rFonts w:hint="eastAsia" w:eastAsia="楷体_GB2312"/>
          <w:b/>
          <w:bCs/>
          <w:sz w:val="32"/>
          <w:szCs w:val="32"/>
        </w:rPr>
        <w:t>（二）参评项目业主</w:t>
      </w:r>
    </w:p>
    <w:p>
      <w:pPr>
        <w:spacing w:line="620" w:lineRule="exact"/>
        <w:ind w:firstLine="640" w:firstLineChars="200"/>
        <w:rPr>
          <w:sz w:val="32"/>
        </w:rPr>
      </w:pPr>
      <w:r>
        <w:rPr>
          <w:rFonts w:hint="eastAsia" w:ascii="仿宋_GB2312" w:hAnsi="仿宋_GB2312" w:cs="仿宋_GB2312"/>
          <w:sz w:val="32"/>
          <w:lang w:val="en"/>
        </w:rPr>
        <w:t>1.</w:t>
      </w:r>
      <w:r>
        <w:rPr>
          <w:rFonts w:hint="eastAsia" w:ascii="宋体" w:hAnsi="宋体"/>
          <w:sz w:val="32"/>
        </w:rPr>
        <w:t>企业、机构或组织依法设立，证照齐全，存续期满一年，有健全财务制度、具有独立法人资格、实行独立核算，且工商注册地、税务征管关系及统计关系在南平市范围内；</w:t>
      </w:r>
    </w:p>
    <w:p>
      <w:pPr>
        <w:spacing w:line="620" w:lineRule="exact"/>
        <w:ind w:firstLine="640" w:firstLineChars="200"/>
        <w:rPr>
          <w:sz w:val="32"/>
        </w:rPr>
      </w:pPr>
      <w:r>
        <w:rPr>
          <w:rFonts w:hint="eastAsia" w:ascii="仿宋_GB2312" w:hAnsi="仿宋_GB2312" w:cs="仿宋_GB2312"/>
          <w:sz w:val="32"/>
          <w:lang w:val="en"/>
        </w:rPr>
        <w:t>2.</w:t>
      </w:r>
      <w:r>
        <w:rPr>
          <w:rFonts w:hint="eastAsia" w:ascii="宋体" w:hAnsi="宋体"/>
          <w:sz w:val="32"/>
        </w:rPr>
        <w:t>企业、机构或组织无不良信用记录（不良信用记录主要包括信贷</w:t>
      </w:r>
      <w:r>
        <w:rPr>
          <w:sz w:val="32"/>
        </w:rPr>
        <w:t>/</w:t>
      </w:r>
      <w:r>
        <w:rPr>
          <w:rFonts w:hint="eastAsia" w:ascii="宋体" w:hAnsi="宋体"/>
          <w:sz w:val="32"/>
        </w:rPr>
        <w:t>债券等逾期，担保的企业</w:t>
      </w:r>
      <w:r>
        <w:rPr>
          <w:sz w:val="32"/>
        </w:rPr>
        <w:t>/</w:t>
      </w:r>
      <w:r>
        <w:rPr>
          <w:rFonts w:hint="eastAsia" w:ascii="宋体" w:hAnsi="宋体"/>
          <w:sz w:val="32"/>
        </w:rPr>
        <w:t>个人违约）；</w:t>
      </w:r>
    </w:p>
    <w:p>
      <w:pPr>
        <w:spacing w:line="620" w:lineRule="exact"/>
        <w:ind w:firstLine="640" w:firstLineChars="200"/>
        <w:rPr>
          <w:sz w:val="32"/>
        </w:rPr>
      </w:pPr>
      <w:r>
        <w:rPr>
          <w:rFonts w:hint="eastAsia" w:ascii="仿宋_GB2312" w:hAnsi="仿宋_GB2312" w:cs="仿宋_GB2312"/>
          <w:sz w:val="32"/>
          <w:lang w:val="en"/>
        </w:rPr>
        <w:t>3.</w:t>
      </w:r>
      <w:r>
        <w:rPr>
          <w:rFonts w:hint="eastAsia" w:ascii="宋体" w:hAnsi="宋体"/>
          <w:sz w:val="32"/>
        </w:rPr>
        <w:t>申请认定前三年内或成立以来未发生重大安全、环境和质量事故或违反《职业病防治法》的行为，未受安全、环境、质量主管部门处罚（重大安全、环境和质量事故认定标准参考附件</w:t>
      </w:r>
      <w:r>
        <w:rPr>
          <w:sz w:val="32"/>
        </w:rPr>
        <w:t>2-3</w:t>
      </w:r>
      <w:r>
        <w:rPr>
          <w:rFonts w:hint="eastAsia" w:ascii="宋体" w:hAnsi="宋体"/>
          <w:sz w:val="32"/>
        </w:rPr>
        <w:t>）；</w:t>
      </w:r>
    </w:p>
    <w:p>
      <w:pPr>
        <w:spacing w:line="620" w:lineRule="exact"/>
        <w:ind w:firstLine="640" w:firstLineChars="200"/>
        <w:rPr>
          <w:sz w:val="32"/>
        </w:rPr>
      </w:pPr>
      <w:r>
        <w:rPr>
          <w:rFonts w:hint="eastAsia" w:ascii="仿宋_GB2312" w:hAnsi="仿宋_GB2312" w:cs="仿宋_GB2312"/>
          <w:sz w:val="32"/>
          <w:lang w:val="en"/>
        </w:rPr>
        <w:t>4.</w:t>
      </w:r>
      <w:r>
        <w:rPr>
          <w:rFonts w:hint="eastAsia" w:ascii="宋体" w:hAnsi="宋体"/>
          <w:sz w:val="32"/>
        </w:rPr>
        <w:t>污染物排放或处置、披露等符合国家（地方）法律法规、相关标准要求，并按规定办理相关许可证并缴纳相关费用；</w:t>
      </w:r>
    </w:p>
    <w:p>
      <w:pPr>
        <w:spacing w:line="620" w:lineRule="exact"/>
        <w:ind w:firstLine="640" w:firstLineChars="200"/>
        <w:rPr>
          <w:sz w:val="32"/>
        </w:rPr>
      </w:pPr>
      <w:r>
        <w:rPr>
          <w:rFonts w:hint="eastAsia" w:ascii="仿宋_GB2312" w:hAnsi="仿宋_GB2312" w:cs="仿宋_GB2312"/>
          <w:sz w:val="32"/>
          <w:lang w:val="en"/>
        </w:rPr>
        <w:t>5.</w:t>
      </w:r>
      <w:r>
        <w:rPr>
          <w:rFonts w:hint="eastAsia" w:ascii="宋体" w:hAnsi="宋体"/>
          <w:sz w:val="32"/>
        </w:rPr>
        <w:t>对于个人经营性贷款及个人消费贷款（仅含购置新能源汽车），可由贷款银行作为项目业主进行统一申报。</w:t>
      </w:r>
    </w:p>
    <w:p>
      <w:pPr>
        <w:keepNext/>
        <w:keepLines/>
        <w:adjustRightInd w:val="0"/>
        <w:snapToGrid w:val="0"/>
        <w:spacing w:line="620" w:lineRule="exact"/>
        <w:ind w:firstLine="640"/>
        <w:outlineLvl w:val="0"/>
        <w:rPr>
          <w:rFonts w:ascii="黑体" w:eastAsia="黑体"/>
          <w:bCs/>
          <w:kern w:val="44"/>
          <w:sz w:val="32"/>
          <w:szCs w:val="32"/>
        </w:rPr>
      </w:pPr>
      <w:bookmarkStart w:id="15" w:name="_Toc75783278"/>
      <w:r>
        <w:rPr>
          <w:rFonts w:hint="eastAsia" w:ascii="黑体" w:eastAsia="黑体"/>
          <w:bCs/>
          <w:kern w:val="44"/>
          <w:sz w:val="32"/>
          <w:szCs w:val="32"/>
        </w:rPr>
        <w:t xml:space="preserve">三. </w:t>
      </w:r>
      <w:bookmarkEnd w:id="15"/>
      <w:r>
        <w:rPr>
          <w:rFonts w:hint="eastAsia" w:ascii="黑体" w:eastAsia="黑体"/>
          <w:bCs/>
          <w:kern w:val="44"/>
          <w:sz w:val="32"/>
          <w:szCs w:val="32"/>
        </w:rPr>
        <w:t>绿色项目目录</w:t>
      </w:r>
    </w:p>
    <w:p>
      <w:pPr>
        <w:spacing w:line="620" w:lineRule="exact"/>
        <w:ind w:firstLine="645"/>
        <w:rPr>
          <w:sz w:val="32"/>
        </w:rPr>
      </w:pPr>
      <w:r>
        <w:rPr>
          <w:rFonts w:hint="eastAsia" w:ascii="宋体" w:hAnsi="宋体"/>
          <w:sz w:val="32"/>
        </w:rPr>
        <w:t>本办法规定的绿色项目包括</w:t>
      </w:r>
      <w:r>
        <w:rPr>
          <w:sz w:val="32"/>
        </w:rPr>
        <w:t>6</w:t>
      </w:r>
      <w:r>
        <w:rPr>
          <w:rFonts w:hint="eastAsia" w:ascii="宋体" w:hAnsi="宋体"/>
          <w:sz w:val="32"/>
        </w:rPr>
        <w:t>项一级分类、</w:t>
      </w:r>
      <w:r>
        <w:rPr>
          <w:sz w:val="32"/>
        </w:rPr>
        <w:t>23</w:t>
      </w:r>
      <w:r>
        <w:rPr>
          <w:rFonts w:hint="eastAsia" w:ascii="宋体" w:hAnsi="宋体"/>
          <w:sz w:val="32"/>
        </w:rPr>
        <w:t>项二级分类及</w:t>
      </w:r>
      <w:r>
        <w:rPr>
          <w:sz w:val="32"/>
        </w:rPr>
        <w:t>83</w:t>
      </w:r>
      <w:r>
        <w:rPr>
          <w:rFonts w:hint="eastAsia" w:ascii="宋体" w:hAnsi="宋体"/>
          <w:sz w:val="32"/>
        </w:rPr>
        <w:t>项三级分类，本办法以国内外主流绿色金融标准为基础，结合南平市地方产业布局情况制定而成，办法中绿色项目一级分类包括碳汇林（竹）渔、低碳一产、降碳节能、低碳新兴、气候适应城市以及减污增效六类项目：</w:t>
      </w:r>
    </w:p>
    <w:p>
      <w:pPr>
        <w:keepNext/>
        <w:keepLines/>
        <w:adjustRightInd w:val="0"/>
        <w:snapToGrid w:val="0"/>
        <w:spacing w:line="580" w:lineRule="exact"/>
        <w:ind w:firstLine="640"/>
        <w:outlineLvl w:val="0"/>
        <w:rPr>
          <w:rFonts w:ascii="黑体" w:eastAsia="黑体"/>
          <w:bCs/>
          <w:kern w:val="44"/>
          <w:sz w:val="32"/>
          <w:szCs w:val="32"/>
        </w:rPr>
      </w:pPr>
      <w:bookmarkStart w:id="16" w:name="_Toc75783279"/>
      <w:bookmarkEnd w:id="16"/>
      <w:r>
        <w:rPr>
          <w:rFonts w:hint="eastAsia" w:ascii="黑体" w:eastAsia="黑体"/>
          <w:bCs/>
          <w:kern w:val="44"/>
          <w:sz w:val="32"/>
          <w:szCs w:val="32"/>
        </w:rPr>
        <w:t>四. 各方责任</w:t>
      </w:r>
    </w:p>
    <w:p>
      <w:pPr>
        <w:keepNext/>
        <w:keepLines/>
        <w:spacing w:line="580" w:lineRule="exact"/>
        <w:ind w:firstLine="643"/>
        <w:jc w:val="left"/>
        <w:outlineLvl w:val="1"/>
        <w:rPr>
          <w:rFonts w:eastAsia="楷体_GB2312"/>
          <w:b/>
          <w:bCs/>
          <w:sz w:val="32"/>
          <w:szCs w:val="32"/>
        </w:rPr>
      </w:pPr>
      <w:bookmarkStart w:id="17" w:name="_Toc75783280"/>
      <w:bookmarkEnd w:id="17"/>
      <w:r>
        <w:rPr>
          <w:rFonts w:hint="eastAsia" w:eastAsia="楷体_GB2312"/>
          <w:b/>
          <w:bCs/>
          <w:sz w:val="32"/>
          <w:szCs w:val="32"/>
        </w:rPr>
        <w:t>（一）南平市地方金融监督管理局</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lang w:val="en"/>
        </w:rPr>
        <w:t>1.</w:t>
      </w:r>
      <w:r>
        <w:rPr>
          <w:rFonts w:hint="eastAsia" w:ascii="仿宋_GB2312" w:hAnsi="仿宋_GB2312" w:cs="仿宋_GB2312"/>
          <w:sz w:val="32"/>
          <w:szCs w:val="32"/>
        </w:rPr>
        <w:t>负责监督管理全市的绿色项目评定工作，发布绿色项目评定标准，制定管理办法；</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lang w:val="en"/>
        </w:rPr>
        <w:t>２.</w:t>
      </w:r>
      <w:r>
        <w:rPr>
          <w:rFonts w:hint="eastAsia" w:ascii="仿宋_GB2312" w:hAnsi="仿宋_GB2312" w:cs="仿宋_GB2312"/>
          <w:sz w:val="32"/>
          <w:szCs w:val="32"/>
        </w:rPr>
        <w:t>负责组织绿色项目申报前的培训；</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lang w:val="en"/>
        </w:rPr>
        <w:t>３.</w:t>
      </w:r>
      <w:r>
        <w:rPr>
          <w:rFonts w:hint="eastAsia" w:ascii="仿宋_GB2312" w:hAnsi="仿宋_GB2312" w:cs="仿宋_GB2312"/>
          <w:sz w:val="32"/>
          <w:szCs w:val="32"/>
        </w:rPr>
        <w:t>负责聘请独立第三方机构，开展绿色项目的评价认定工作；</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lang w:val="en"/>
        </w:rPr>
        <w:t>４.</w:t>
      </w:r>
      <w:r>
        <w:rPr>
          <w:rFonts w:hint="eastAsia" w:ascii="仿宋_GB2312" w:hAnsi="仿宋_GB2312" w:cs="仿宋_GB2312"/>
          <w:sz w:val="32"/>
          <w:szCs w:val="32"/>
        </w:rPr>
        <w:t>负责对申报项目评审工作档案进行管理，并受理查询事务；</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lang w:val="en"/>
        </w:rPr>
        <w:t>５.</w:t>
      </w:r>
      <w:r>
        <w:rPr>
          <w:rFonts w:hint="eastAsia" w:ascii="仿宋_GB2312" w:hAnsi="仿宋_GB2312" w:cs="仿宋_GB2312"/>
          <w:sz w:val="32"/>
          <w:szCs w:val="32"/>
        </w:rPr>
        <w:t>负责及时公布绿色项目评价认定结果，对拟认定绿色项目清单在相关媒体上公示10个工作日。公示期间，对评定结果有异议的，可提供证明材料，5个工作日内，南平市地方金融监督管理局对异议作出处理；</w:t>
      </w:r>
    </w:p>
    <w:p>
      <w:pPr>
        <w:spacing w:line="580" w:lineRule="exact"/>
        <w:ind w:left="257" w:leftChars="83" w:firstLine="426" w:firstLineChars="133"/>
        <w:rPr>
          <w:rFonts w:ascii="仿宋_GB2312" w:hAnsi="仿宋_GB2312" w:cs="仿宋_GB2312"/>
          <w:sz w:val="32"/>
          <w:szCs w:val="32"/>
        </w:rPr>
      </w:pPr>
      <w:r>
        <w:rPr>
          <w:rFonts w:hint="eastAsia" w:ascii="仿宋_GB2312" w:hAnsi="仿宋_GB2312" w:cs="仿宋_GB2312"/>
          <w:sz w:val="32"/>
          <w:lang w:val="en"/>
        </w:rPr>
        <w:t>６.</w:t>
      </w:r>
      <w:r>
        <w:rPr>
          <w:rFonts w:hint="eastAsia" w:ascii="仿宋_GB2312" w:hAnsi="仿宋_GB2312" w:cs="仿宋_GB2312"/>
          <w:sz w:val="32"/>
          <w:szCs w:val="32"/>
        </w:rPr>
        <w:t>负责绿色项目认定的日常管理工作；</w:t>
      </w:r>
    </w:p>
    <w:p>
      <w:pPr>
        <w:spacing w:line="580" w:lineRule="exact"/>
        <w:ind w:left="257" w:leftChars="83" w:firstLine="426" w:firstLineChars="133"/>
        <w:rPr>
          <w:rFonts w:ascii="仿宋_GB2312" w:hAnsi="仿宋_GB2312" w:cs="仿宋_GB2312"/>
          <w:sz w:val="32"/>
          <w:szCs w:val="32"/>
        </w:rPr>
      </w:pPr>
      <w:r>
        <w:rPr>
          <w:rFonts w:hint="eastAsia" w:ascii="仿宋_GB2312" w:hAnsi="仿宋_GB2312" w:cs="仿宋_GB2312"/>
          <w:sz w:val="32"/>
          <w:lang w:val="en"/>
        </w:rPr>
        <w:t>７.</w:t>
      </w:r>
      <w:r>
        <w:rPr>
          <w:rFonts w:hint="eastAsia" w:ascii="仿宋_GB2312" w:hAnsi="仿宋_GB2312" w:cs="仿宋_GB2312"/>
          <w:sz w:val="32"/>
          <w:szCs w:val="32"/>
        </w:rPr>
        <w:t>其他相关事由。</w:t>
      </w:r>
    </w:p>
    <w:p>
      <w:pPr>
        <w:keepNext/>
        <w:keepLines/>
        <w:spacing w:line="580" w:lineRule="exact"/>
        <w:ind w:firstLine="643"/>
        <w:jc w:val="left"/>
        <w:outlineLvl w:val="1"/>
        <w:rPr>
          <w:rFonts w:eastAsia="楷体_GB2312"/>
          <w:b/>
          <w:bCs/>
          <w:sz w:val="32"/>
          <w:szCs w:val="32"/>
        </w:rPr>
      </w:pPr>
      <w:bookmarkStart w:id="18" w:name="_Toc75783281"/>
      <w:bookmarkEnd w:id="18"/>
      <w:r>
        <w:rPr>
          <w:rFonts w:hint="eastAsia" w:eastAsia="楷体_GB2312"/>
          <w:b/>
          <w:bCs/>
          <w:sz w:val="32"/>
          <w:szCs w:val="32"/>
        </w:rPr>
        <w:t>（二）独立第三方机构</w:t>
      </w:r>
    </w:p>
    <w:p>
      <w:pPr>
        <w:keepNext/>
        <w:keepLines/>
        <w:kinsoku w:val="0"/>
        <w:overflowPunct w:val="0"/>
        <w:autoSpaceDE w:val="0"/>
        <w:autoSpaceDN w:val="0"/>
        <w:spacing w:line="580" w:lineRule="exact"/>
        <w:ind w:firstLine="739" w:firstLineChars="231"/>
        <w:jc w:val="left"/>
        <w:outlineLvl w:val="1"/>
        <w:rPr>
          <w:sz w:val="32"/>
          <w:szCs w:val="32"/>
        </w:rPr>
      </w:pPr>
      <w:r>
        <w:rPr>
          <w:rFonts w:hint="eastAsia" w:ascii="仿宋_GB2312" w:hAnsi="仿宋_GB2312" w:cs="仿宋_GB2312"/>
          <w:sz w:val="32"/>
          <w:lang w:val="en"/>
        </w:rPr>
        <w:t>1.</w:t>
      </w:r>
      <w:r>
        <w:rPr>
          <w:rFonts w:hint="eastAsia" w:ascii="宋体" w:hAnsi="宋体"/>
          <w:sz w:val="32"/>
          <w:szCs w:val="32"/>
        </w:rPr>
        <w:t>协助开展对项目业主的申报培训；</w:t>
      </w:r>
    </w:p>
    <w:p>
      <w:pPr>
        <w:keepNext/>
        <w:keepLines/>
        <w:spacing w:line="580" w:lineRule="exact"/>
        <w:ind w:firstLine="640" w:firstLineChars="200"/>
        <w:jc w:val="left"/>
        <w:outlineLvl w:val="1"/>
        <w:rPr>
          <w:sz w:val="32"/>
          <w:szCs w:val="32"/>
        </w:rPr>
      </w:pPr>
      <w:r>
        <w:rPr>
          <w:rFonts w:hint="eastAsia" w:ascii="仿宋_GB2312" w:hAnsi="仿宋_GB2312" w:cs="仿宋_GB2312"/>
          <w:sz w:val="32"/>
          <w:lang w:val="en"/>
        </w:rPr>
        <w:t>２.</w:t>
      </w:r>
      <w:r>
        <w:rPr>
          <w:rFonts w:hint="eastAsia" w:ascii="宋体" w:hAnsi="宋体"/>
          <w:sz w:val="32"/>
          <w:szCs w:val="32"/>
        </w:rPr>
        <w:t>负责绿色项目评价认定工作，并对评价结果负责。</w:t>
      </w:r>
    </w:p>
    <w:p>
      <w:pPr>
        <w:keepNext/>
        <w:keepLines/>
        <w:adjustRightInd w:val="0"/>
        <w:snapToGrid w:val="0"/>
        <w:spacing w:line="580" w:lineRule="exact"/>
        <w:ind w:firstLine="640"/>
        <w:outlineLvl w:val="0"/>
        <w:rPr>
          <w:rFonts w:ascii="黑体" w:eastAsia="黑体"/>
          <w:bCs/>
          <w:kern w:val="44"/>
          <w:sz w:val="32"/>
          <w:szCs w:val="32"/>
        </w:rPr>
      </w:pPr>
      <w:r>
        <w:rPr>
          <w:rFonts w:hint="eastAsia" w:ascii="黑体" w:eastAsia="黑体"/>
          <w:bCs/>
          <w:kern w:val="44"/>
          <w:sz w:val="32"/>
          <w:szCs w:val="32"/>
        </w:rPr>
        <w:t>五、入库认定</w:t>
      </w:r>
    </w:p>
    <w:p>
      <w:pPr>
        <w:keepNext/>
        <w:keepLines/>
        <w:spacing w:line="580" w:lineRule="exact"/>
        <w:ind w:firstLine="643"/>
        <w:jc w:val="left"/>
        <w:outlineLvl w:val="1"/>
        <w:rPr>
          <w:rFonts w:eastAsia="楷体_GB2312"/>
          <w:b/>
          <w:bCs/>
          <w:sz w:val="32"/>
          <w:szCs w:val="32"/>
        </w:rPr>
      </w:pPr>
      <w:bookmarkStart w:id="19" w:name="_Toc75783283"/>
      <w:bookmarkEnd w:id="19"/>
      <w:r>
        <w:rPr>
          <w:rFonts w:hint="eastAsia" w:eastAsia="楷体_GB2312"/>
          <w:b/>
          <w:bCs/>
          <w:sz w:val="32"/>
          <w:szCs w:val="32"/>
        </w:rPr>
        <w:t>（一）申报材料</w:t>
      </w:r>
    </w:p>
    <w:p>
      <w:pPr>
        <w:spacing w:line="580" w:lineRule="exact"/>
        <w:ind w:firstLine="640" w:firstLineChars="200"/>
        <w:rPr>
          <w:sz w:val="32"/>
          <w:szCs w:val="32"/>
        </w:rPr>
      </w:pPr>
      <w:r>
        <w:rPr>
          <w:rFonts w:hint="eastAsia" w:ascii="宋体" w:hAnsi="宋体"/>
          <w:sz w:val="32"/>
          <w:szCs w:val="32"/>
        </w:rPr>
        <w:t>包括但不限于：</w:t>
      </w:r>
    </w:p>
    <w:p>
      <w:pPr>
        <w:spacing w:line="580" w:lineRule="exact"/>
        <w:ind w:firstLine="640" w:firstLineChars="200"/>
        <w:rPr>
          <w:sz w:val="32"/>
          <w:szCs w:val="32"/>
        </w:rPr>
      </w:pPr>
      <w:r>
        <w:rPr>
          <w:rFonts w:hint="eastAsia" w:ascii="仿宋_GB2312" w:hAnsi="仿宋_GB2312" w:cs="仿宋_GB2312"/>
          <w:sz w:val="32"/>
          <w:lang w:val="en"/>
        </w:rPr>
        <w:t>1.</w:t>
      </w:r>
      <w:r>
        <w:rPr>
          <w:rFonts w:hint="eastAsia" w:ascii="宋体" w:hAnsi="宋体"/>
          <w:sz w:val="32"/>
          <w:szCs w:val="32"/>
        </w:rPr>
        <w:t>南平市绿色项目认定申请表；</w:t>
      </w:r>
    </w:p>
    <w:p>
      <w:pPr>
        <w:spacing w:line="580" w:lineRule="exact"/>
        <w:ind w:firstLine="640" w:firstLineChars="200"/>
        <w:rPr>
          <w:sz w:val="32"/>
          <w:szCs w:val="32"/>
        </w:rPr>
      </w:pPr>
      <w:r>
        <w:rPr>
          <w:rFonts w:hint="eastAsia" w:ascii="仿宋_GB2312" w:hAnsi="仿宋_GB2312" w:cs="仿宋_GB2312"/>
          <w:sz w:val="32"/>
          <w:lang w:val="en"/>
        </w:rPr>
        <w:t>２.</w:t>
      </w:r>
      <w:r>
        <w:rPr>
          <w:rFonts w:hint="eastAsia" w:ascii="宋体" w:hAnsi="宋体"/>
          <w:sz w:val="32"/>
          <w:szCs w:val="32"/>
        </w:rPr>
        <w:t>无重大事故及无非法违规承诺函；</w:t>
      </w:r>
    </w:p>
    <w:p>
      <w:pPr>
        <w:spacing w:line="580" w:lineRule="exact"/>
        <w:ind w:firstLine="640" w:firstLineChars="200"/>
        <w:rPr>
          <w:sz w:val="32"/>
          <w:szCs w:val="32"/>
        </w:rPr>
      </w:pPr>
      <w:r>
        <w:rPr>
          <w:rFonts w:hint="eastAsia" w:ascii="仿宋_GB2312" w:hAnsi="仿宋_GB2312" w:cs="仿宋_GB2312"/>
          <w:sz w:val="32"/>
          <w:lang w:val="en"/>
        </w:rPr>
        <w:t>３.</w:t>
      </w:r>
      <w:r>
        <w:rPr>
          <w:rFonts w:hint="eastAsia" w:ascii="宋体" w:hAnsi="宋体"/>
          <w:sz w:val="32"/>
          <w:szCs w:val="32"/>
        </w:rPr>
        <w:t>企业营业执照；</w:t>
      </w:r>
    </w:p>
    <w:p>
      <w:pPr>
        <w:spacing w:line="580" w:lineRule="exact"/>
        <w:ind w:firstLine="640" w:firstLineChars="200"/>
        <w:rPr>
          <w:sz w:val="32"/>
          <w:szCs w:val="32"/>
        </w:rPr>
      </w:pPr>
      <w:r>
        <w:rPr>
          <w:rFonts w:hint="eastAsia" w:ascii="仿宋_GB2312" w:hAnsi="仿宋_GB2312" w:cs="仿宋_GB2312"/>
          <w:sz w:val="32"/>
          <w:lang w:val="en"/>
        </w:rPr>
        <w:t>４.</w:t>
      </w:r>
      <w:r>
        <w:rPr>
          <w:rFonts w:hint="eastAsia" w:ascii="宋体" w:hAnsi="宋体"/>
          <w:sz w:val="32"/>
          <w:szCs w:val="32"/>
        </w:rPr>
        <w:t>项目可研及批复等立项文件；</w:t>
      </w:r>
    </w:p>
    <w:p>
      <w:pPr>
        <w:spacing w:line="580" w:lineRule="exact"/>
        <w:ind w:firstLine="640" w:firstLineChars="200"/>
        <w:rPr>
          <w:sz w:val="32"/>
          <w:szCs w:val="32"/>
        </w:rPr>
      </w:pPr>
      <w:r>
        <w:rPr>
          <w:rFonts w:hint="eastAsia" w:ascii="仿宋_GB2312" w:hAnsi="仿宋_GB2312" w:cs="仿宋_GB2312"/>
          <w:sz w:val="32"/>
          <w:lang w:val="en"/>
        </w:rPr>
        <w:t>５.</w:t>
      </w:r>
      <w:r>
        <w:rPr>
          <w:rFonts w:hint="eastAsia" w:ascii="宋体" w:hAnsi="宋体"/>
          <w:sz w:val="32"/>
          <w:szCs w:val="32"/>
        </w:rPr>
        <w:t>项目土地文件；</w:t>
      </w:r>
    </w:p>
    <w:p>
      <w:pPr>
        <w:spacing w:line="580" w:lineRule="exact"/>
        <w:ind w:firstLine="640" w:firstLineChars="200"/>
        <w:rPr>
          <w:sz w:val="32"/>
          <w:szCs w:val="32"/>
        </w:rPr>
      </w:pPr>
      <w:r>
        <w:rPr>
          <w:rFonts w:hint="eastAsia" w:ascii="仿宋_GB2312" w:hAnsi="仿宋_GB2312" w:cs="仿宋_GB2312"/>
          <w:sz w:val="32"/>
          <w:lang w:val="en"/>
        </w:rPr>
        <w:t>６.</w:t>
      </w:r>
      <w:r>
        <w:rPr>
          <w:rFonts w:hint="eastAsia" w:ascii="宋体" w:hAnsi="宋体"/>
          <w:sz w:val="32"/>
          <w:szCs w:val="32"/>
        </w:rPr>
        <w:t>建设项目环评报告及批复；</w:t>
      </w:r>
    </w:p>
    <w:p>
      <w:pPr>
        <w:spacing w:line="580" w:lineRule="exact"/>
        <w:ind w:firstLine="640" w:firstLineChars="200"/>
        <w:rPr>
          <w:sz w:val="32"/>
          <w:szCs w:val="32"/>
        </w:rPr>
      </w:pPr>
      <w:r>
        <w:rPr>
          <w:rFonts w:hint="eastAsia" w:ascii="仿宋_GB2312" w:hAnsi="仿宋_GB2312" w:cs="仿宋_GB2312"/>
          <w:sz w:val="32"/>
          <w:lang w:val="en"/>
        </w:rPr>
        <w:t>７.</w:t>
      </w:r>
      <w:r>
        <w:rPr>
          <w:rFonts w:hint="eastAsia" w:ascii="宋体" w:hAnsi="宋体"/>
          <w:sz w:val="32"/>
          <w:szCs w:val="32"/>
        </w:rPr>
        <w:t>环境保护竣工验收报告（如有）；</w:t>
      </w:r>
    </w:p>
    <w:p>
      <w:pPr>
        <w:tabs>
          <w:tab w:val="left" w:pos="426"/>
          <w:tab w:val="left" w:pos="709"/>
        </w:tabs>
        <w:spacing w:line="580" w:lineRule="exact"/>
        <w:ind w:firstLine="640" w:firstLineChars="200"/>
        <w:rPr>
          <w:sz w:val="32"/>
          <w:szCs w:val="32"/>
        </w:rPr>
      </w:pPr>
      <w:r>
        <w:rPr>
          <w:rFonts w:hint="eastAsia" w:ascii="仿宋_GB2312" w:hAnsi="仿宋_GB2312" w:cs="仿宋_GB2312"/>
          <w:sz w:val="32"/>
          <w:lang w:val="en"/>
        </w:rPr>
        <w:t>８.</w:t>
      </w:r>
      <w:r>
        <w:rPr>
          <w:rFonts w:hint="eastAsia" w:ascii="宋体" w:hAnsi="宋体"/>
          <w:sz w:val="32"/>
          <w:szCs w:val="32"/>
        </w:rPr>
        <w:t>其他相关佐证材料（如有）。</w:t>
      </w:r>
    </w:p>
    <w:p>
      <w:pPr>
        <w:spacing w:line="580" w:lineRule="exact"/>
        <w:ind w:firstLine="482"/>
        <w:rPr>
          <w:rFonts w:eastAsia="楷体_GB2312"/>
          <w:b/>
          <w:bCs/>
          <w:sz w:val="32"/>
          <w:szCs w:val="32"/>
        </w:rPr>
      </w:pPr>
      <w:r>
        <w:rPr>
          <w:rFonts w:eastAsia="楷体_GB2312"/>
          <w:b/>
          <w:bCs/>
          <w:sz w:val="32"/>
          <w:szCs w:val="32"/>
        </w:rPr>
        <w:t xml:space="preserve"> </w:t>
      </w:r>
      <w:r>
        <w:rPr>
          <w:rFonts w:hint="eastAsia" w:eastAsia="楷体_GB2312"/>
          <w:b/>
          <w:bCs/>
          <w:sz w:val="32"/>
          <w:szCs w:val="32"/>
        </w:rPr>
        <w:t>（二）名单收集</w:t>
      </w:r>
    </w:p>
    <w:p>
      <w:pPr>
        <w:spacing w:line="580" w:lineRule="exact"/>
        <w:ind w:firstLine="640" w:firstLineChars="200"/>
        <w:rPr>
          <w:sz w:val="32"/>
          <w:szCs w:val="32"/>
        </w:rPr>
      </w:pPr>
      <w:r>
        <w:rPr>
          <w:rFonts w:hint="eastAsia" w:ascii="仿宋_GB2312" w:hAnsi="仿宋_GB2312" w:cs="仿宋_GB2312"/>
          <w:sz w:val="32"/>
          <w:lang w:val="en"/>
        </w:rPr>
        <w:t>1.</w:t>
      </w:r>
      <w:r>
        <w:rPr>
          <w:rFonts w:hint="eastAsia" w:ascii="宋体" w:hAnsi="宋体"/>
          <w:sz w:val="32"/>
          <w:szCs w:val="32"/>
        </w:rPr>
        <w:t>符合本办法规定的，可直接通过“福建省金融服务云平台</w:t>
      </w:r>
      <w:r>
        <w:rPr>
          <w:rFonts w:hint="eastAsia"/>
          <w:sz w:val="32"/>
          <w:szCs w:val="32"/>
        </w:rPr>
        <w:t>—</w:t>
      </w:r>
      <w:r>
        <w:rPr>
          <w:rFonts w:hint="eastAsia" w:ascii="宋体" w:hAnsi="宋体"/>
          <w:sz w:val="32"/>
          <w:szCs w:val="32"/>
        </w:rPr>
        <w:t>南平专区</w:t>
      </w:r>
      <w:r>
        <w:rPr>
          <w:rFonts w:hint="eastAsia"/>
          <w:sz w:val="32"/>
          <w:szCs w:val="32"/>
        </w:rPr>
        <w:t>”提交相关资料；</w:t>
      </w:r>
    </w:p>
    <w:p>
      <w:pPr>
        <w:spacing w:line="600" w:lineRule="exact"/>
        <w:ind w:firstLine="640" w:firstLineChars="200"/>
        <w:rPr>
          <w:sz w:val="32"/>
          <w:szCs w:val="32"/>
        </w:rPr>
      </w:pPr>
      <w:r>
        <w:rPr>
          <w:rFonts w:hint="eastAsia" w:ascii="仿宋_GB2312" w:hAnsi="仿宋_GB2312" w:cs="仿宋_GB2312"/>
          <w:sz w:val="32"/>
          <w:lang w:val="en"/>
        </w:rPr>
        <w:t>２.</w:t>
      </w:r>
      <w:r>
        <w:rPr>
          <w:rFonts w:hint="eastAsia" w:ascii="宋体" w:hAnsi="宋体"/>
          <w:sz w:val="32"/>
          <w:szCs w:val="32"/>
        </w:rPr>
        <w:t>各区</w:t>
      </w:r>
      <w:r>
        <w:rPr>
          <w:sz w:val="32"/>
          <w:szCs w:val="32"/>
        </w:rPr>
        <w:t>/</w:t>
      </w:r>
      <w:r>
        <w:rPr>
          <w:rFonts w:hint="eastAsia" w:ascii="宋体" w:hAnsi="宋体"/>
          <w:sz w:val="32"/>
          <w:szCs w:val="32"/>
        </w:rPr>
        <w:t>县工信、商务、农业农村、文化旅游等行业主管部门分别收集相关领域符合条件的项目名单，推荐给南平市地方金融监督管理局，由南平市地方金融监督管理局通知项目业主通过</w:t>
      </w:r>
      <w:r>
        <w:rPr>
          <w:rFonts w:hint="eastAsia"/>
          <w:sz w:val="32"/>
          <w:szCs w:val="32"/>
        </w:rPr>
        <w:t>“南平市绿色认证服务平台”提交相关资料。</w:t>
      </w:r>
    </w:p>
    <w:p>
      <w:pPr>
        <w:spacing w:line="600" w:lineRule="exact"/>
        <w:rPr>
          <w:rFonts w:eastAsia="楷体_GB2312"/>
          <w:b/>
          <w:bCs/>
          <w:sz w:val="32"/>
          <w:szCs w:val="32"/>
        </w:rPr>
      </w:pPr>
      <w:r>
        <w:rPr>
          <w:rFonts w:hint="eastAsia" w:ascii="宋体" w:hAnsi="宋体"/>
          <w:b/>
          <w:bCs/>
          <w:sz w:val="32"/>
          <w:szCs w:val="32"/>
        </w:rPr>
        <w:t xml:space="preserve">    </w:t>
      </w:r>
      <w:r>
        <w:rPr>
          <w:rFonts w:hint="eastAsia" w:eastAsia="楷体_GB2312"/>
          <w:b/>
          <w:bCs/>
          <w:sz w:val="32"/>
          <w:szCs w:val="32"/>
        </w:rPr>
        <w:t>（三）评价认定</w:t>
      </w:r>
    </w:p>
    <w:p>
      <w:pPr>
        <w:spacing w:line="600" w:lineRule="exact"/>
        <w:rPr>
          <w:sz w:val="32"/>
          <w:szCs w:val="32"/>
        </w:rPr>
      </w:pPr>
      <w:r>
        <w:rPr>
          <w:rFonts w:hint="eastAsia" w:ascii="宋体" w:hAnsi="宋体"/>
          <w:sz w:val="32"/>
          <w:szCs w:val="32"/>
        </w:rPr>
        <w:t xml:space="preserve">    绿色项目资格评定工作由第三方机构承担，依据项目实际情况及本评价认定办法进行评价认定。</w:t>
      </w:r>
    </w:p>
    <w:p>
      <w:pPr>
        <w:spacing w:line="600" w:lineRule="exact"/>
        <w:rPr>
          <w:b/>
          <w:bCs/>
          <w:sz w:val="32"/>
          <w:szCs w:val="32"/>
        </w:rPr>
      </w:pPr>
      <w:r>
        <w:rPr>
          <w:rFonts w:hint="eastAsia" w:ascii="宋体" w:hAnsi="宋体"/>
          <w:b/>
          <w:bCs/>
          <w:sz w:val="32"/>
          <w:szCs w:val="32"/>
        </w:rPr>
        <w:t xml:space="preserve">    </w:t>
      </w:r>
      <w:r>
        <w:rPr>
          <w:rFonts w:hint="eastAsia" w:eastAsia="楷体_GB2312"/>
          <w:b/>
          <w:bCs/>
          <w:sz w:val="32"/>
          <w:szCs w:val="32"/>
        </w:rPr>
        <w:t>（四）公示</w:t>
      </w:r>
    </w:p>
    <w:p>
      <w:pPr>
        <w:spacing w:line="600" w:lineRule="exact"/>
        <w:rPr>
          <w:rFonts w:ascii="仿宋_GB2312"/>
          <w:sz w:val="32"/>
          <w:szCs w:val="32"/>
        </w:rPr>
      </w:pPr>
      <w:r>
        <w:rPr>
          <w:rFonts w:hint="eastAsia" w:ascii="宋体" w:hAnsi="宋体"/>
          <w:sz w:val="32"/>
          <w:szCs w:val="32"/>
        </w:rPr>
        <w:t xml:space="preserve">    </w:t>
      </w:r>
      <w:r>
        <w:rPr>
          <w:rFonts w:hint="eastAsia" w:ascii="仿宋_GB2312" w:hAnsi="宋体"/>
          <w:sz w:val="32"/>
          <w:szCs w:val="32"/>
        </w:rPr>
        <w:t>南平市地方金融监督管理局及时公布绿色项目评价认定结果，对拟认定绿色项目清单在相关媒体上公示</w:t>
      </w:r>
      <w:r>
        <w:rPr>
          <w:rFonts w:ascii="仿宋_GB2312"/>
          <w:sz w:val="32"/>
          <w:szCs w:val="32"/>
        </w:rPr>
        <w:t>10</w:t>
      </w:r>
      <w:r>
        <w:rPr>
          <w:rFonts w:hint="eastAsia" w:ascii="仿宋_GB2312" w:hAnsi="宋体"/>
          <w:sz w:val="32"/>
          <w:szCs w:val="32"/>
        </w:rPr>
        <w:t>个工作日，公示期间，对评定结果有异议的，可提供证明材料，</w:t>
      </w:r>
      <w:r>
        <w:rPr>
          <w:rFonts w:ascii="仿宋_GB2312"/>
          <w:sz w:val="32"/>
          <w:szCs w:val="32"/>
        </w:rPr>
        <w:t>5</w:t>
      </w:r>
      <w:r>
        <w:rPr>
          <w:rFonts w:hint="eastAsia" w:ascii="仿宋_GB2312" w:hAnsi="宋体"/>
          <w:sz w:val="32"/>
          <w:szCs w:val="32"/>
        </w:rPr>
        <w:t>个工作日内，南平市地方金融监督管理局对异议决定处理。</w:t>
      </w:r>
    </w:p>
    <w:p>
      <w:pPr>
        <w:keepNext/>
        <w:keepLines/>
        <w:spacing w:line="600" w:lineRule="exact"/>
        <w:ind w:firstLine="643" w:firstLineChars="200"/>
        <w:jc w:val="left"/>
        <w:outlineLvl w:val="1"/>
        <w:rPr>
          <w:rFonts w:eastAsia="楷体_GB2312"/>
          <w:b/>
          <w:bCs/>
          <w:sz w:val="32"/>
          <w:szCs w:val="32"/>
        </w:rPr>
      </w:pPr>
      <w:bookmarkStart w:id="20" w:name="_Toc75783284"/>
      <w:bookmarkEnd w:id="20"/>
      <w:r>
        <w:rPr>
          <w:rFonts w:hint="eastAsia" w:eastAsia="楷体_GB2312"/>
          <w:b/>
          <w:bCs/>
          <w:sz w:val="32"/>
          <w:szCs w:val="32"/>
        </w:rPr>
        <w:t>（五）入库有效期</w:t>
      </w:r>
    </w:p>
    <w:p>
      <w:pPr>
        <w:spacing w:line="600" w:lineRule="exact"/>
        <w:rPr>
          <w:sz w:val="32"/>
          <w:szCs w:val="32"/>
        </w:rPr>
      </w:pPr>
      <w:r>
        <w:rPr>
          <w:rFonts w:hint="eastAsia" w:ascii="宋体" w:hAnsi="宋体"/>
          <w:sz w:val="32"/>
          <w:szCs w:val="32"/>
        </w:rPr>
        <w:t xml:space="preserve">    纳入</w:t>
      </w:r>
      <w:r>
        <w:rPr>
          <w:rFonts w:hint="eastAsia"/>
          <w:sz w:val="32"/>
          <w:szCs w:val="32"/>
        </w:rPr>
        <w:t>“项目库”的绿色项目有效期为三年。在有效期满后需继续纳入“项目库”的，由第三方认证评估机构根据原申报材料及项目业主提交补充的材料进行核查认证，南平市地方金融监督管理局根据核查认证结果，审查公示后继续将该项目纳入“项目库”。</w:t>
      </w:r>
    </w:p>
    <w:p>
      <w:pPr>
        <w:keepNext/>
        <w:keepLines/>
        <w:spacing w:line="600" w:lineRule="exact"/>
        <w:ind w:firstLine="640" w:firstLineChars="200"/>
        <w:jc w:val="left"/>
        <w:outlineLvl w:val="1"/>
        <w:rPr>
          <w:rFonts w:ascii="黑体" w:eastAsia="黑体"/>
          <w:bCs/>
          <w:kern w:val="44"/>
          <w:sz w:val="32"/>
          <w:szCs w:val="32"/>
        </w:rPr>
      </w:pPr>
      <w:bookmarkStart w:id="21" w:name="_Toc75783285"/>
      <w:bookmarkEnd w:id="21"/>
      <w:r>
        <w:rPr>
          <w:rFonts w:hint="eastAsia" w:ascii="黑体" w:eastAsia="黑体"/>
          <w:bCs/>
          <w:kern w:val="44"/>
          <w:sz w:val="32"/>
          <w:szCs w:val="32"/>
        </w:rPr>
        <w:t>六、监督管理</w:t>
      </w:r>
    </w:p>
    <w:p>
      <w:pPr>
        <w:widowControl/>
        <w:spacing w:line="600" w:lineRule="exact"/>
        <w:ind w:firstLine="640" w:firstLineChars="200"/>
        <w:rPr>
          <w:rFonts w:ascii="仿宋_GB2312"/>
          <w:sz w:val="32"/>
          <w:szCs w:val="32"/>
        </w:rPr>
      </w:pPr>
      <w:r>
        <w:rPr>
          <w:rFonts w:hint="eastAsia" w:ascii="仿宋_GB2312" w:hAnsi="宋体"/>
          <w:sz w:val="32"/>
          <w:szCs w:val="32"/>
        </w:rPr>
        <w:t>南平市地方金融监督管理局负责绿色项目认定的日常管理工作。</w:t>
      </w:r>
    </w:p>
    <w:p>
      <w:pPr>
        <w:widowControl/>
        <w:spacing w:line="600" w:lineRule="exact"/>
        <w:ind w:firstLine="624" w:firstLineChars="200"/>
        <w:rPr>
          <w:rFonts w:ascii="仿宋_GB2312"/>
          <w:spacing w:val="-4"/>
          <w:sz w:val="32"/>
          <w:szCs w:val="32"/>
        </w:rPr>
      </w:pPr>
      <w:r>
        <w:rPr>
          <w:rFonts w:hint="eastAsia" w:ascii="仿宋_GB2312" w:hAnsi="宋体"/>
          <w:spacing w:val="-4"/>
          <w:sz w:val="32"/>
          <w:szCs w:val="32"/>
        </w:rPr>
        <w:t>被认定为绿色项目，发生以下情形之一的，应自发生日起</w:t>
      </w:r>
      <w:r>
        <w:rPr>
          <w:rFonts w:ascii="仿宋_GB2312"/>
          <w:spacing w:val="-4"/>
          <w:sz w:val="32"/>
          <w:szCs w:val="32"/>
        </w:rPr>
        <w:t>5</w:t>
      </w:r>
      <w:r>
        <w:rPr>
          <w:rFonts w:hint="eastAsia" w:ascii="仿宋_GB2312" w:hAnsi="宋体"/>
          <w:spacing w:val="-4"/>
          <w:sz w:val="32"/>
          <w:szCs w:val="32"/>
        </w:rPr>
        <w:t>个工作日内，向南平市地方金融监督管理局进行书面报备：</w:t>
      </w:r>
    </w:p>
    <w:p>
      <w:pPr>
        <w:widowControl/>
        <w:spacing w:line="600" w:lineRule="exact"/>
        <w:ind w:firstLine="640" w:firstLineChars="200"/>
        <w:rPr>
          <w:rFonts w:ascii="仿宋_GB2312"/>
          <w:sz w:val="32"/>
          <w:szCs w:val="32"/>
        </w:rPr>
      </w:pPr>
      <w:r>
        <w:rPr>
          <w:rFonts w:hint="eastAsia" w:ascii="仿宋_GB2312" w:hAnsi="宋体"/>
          <w:sz w:val="32"/>
          <w:szCs w:val="32"/>
        </w:rPr>
        <w:t>（一）项目建设主体发生变更；</w:t>
      </w:r>
    </w:p>
    <w:p>
      <w:pPr>
        <w:widowControl/>
        <w:spacing w:line="580" w:lineRule="exact"/>
        <w:ind w:firstLine="640" w:firstLineChars="200"/>
        <w:rPr>
          <w:rFonts w:ascii="仿宋_GB2312"/>
          <w:sz w:val="32"/>
          <w:szCs w:val="32"/>
        </w:rPr>
      </w:pPr>
      <w:r>
        <w:rPr>
          <w:rFonts w:hint="eastAsia" w:ascii="仿宋_GB2312" w:hAnsi="宋体"/>
          <w:sz w:val="32"/>
          <w:szCs w:val="32"/>
        </w:rPr>
        <w:t>（二）项目主要建设内容、建设规模变更；</w:t>
      </w:r>
    </w:p>
    <w:p>
      <w:pPr>
        <w:widowControl/>
        <w:spacing w:line="580" w:lineRule="exact"/>
        <w:ind w:firstLine="640" w:firstLineChars="200"/>
        <w:rPr>
          <w:rFonts w:ascii="仿宋_GB2312"/>
          <w:sz w:val="32"/>
          <w:szCs w:val="32"/>
        </w:rPr>
      </w:pPr>
      <w:r>
        <w:rPr>
          <w:rFonts w:hint="eastAsia" w:ascii="仿宋_GB2312" w:hAnsi="宋体"/>
          <w:sz w:val="32"/>
          <w:szCs w:val="32"/>
        </w:rPr>
        <w:t>（三）项目建设地点发生变更；</w:t>
      </w:r>
    </w:p>
    <w:p>
      <w:pPr>
        <w:widowControl/>
        <w:spacing w:line="580" w:lineRule="exact"/>
        <w:ind w:firstLine="640" w:firstLineChars="200"/>
        <w:rPr>
          <w:rFonts w:ascii="仿宋_GB2312"/>
          <w:sz w:val="32"/>
          <w:szCs w:val="32"/>
        </w:rPr>
      </w:pPr>
      <w:r>
        <w:rPr>
          <w:rFonts w:hint="eastAsia" w:ascii="仿宋_GB2312" w:hAnsi="宋体"/>
          <w:sz w:val="32"/>
          <w:szCs w:val="32"/>
        </w:rPr>
        <w:t>（四）项目重大设备选型和主要生产工艺发生变更；</w:t>
      </w:r>
    </w:p>
    <w:p>
      <w:pPr>
        <w:widowControl/>
        <w:spacing w:line="580" w:lineRule="exact"/>
        <w:rPr>
          <w:rFonts w:ascii="仿宋_GB2312"/>
          <w:sz w:val="32"/>
          <w:szCs w:val="32"/>
        </w:rPr>
      </w:pPr>
      <w:r>
        <w:rPr>
          <w:rFonts w:ascii="仿宋_GB2312" w:hAnsi="宋体"/>
          <w:sz w:val="32"/>
          <w:szCs w:val="32"/>
        </w:rPr>
        <w:t xml:space="preserve">  </w:t>
      </w:r>
      <w:r>
        <w:rPr>
          <w:rFonts w:hint="eastAsia" w:ascii="仿宋_GB2312" w:hAnsi="宋体"/>
          <w:sz w:val="32"/>
          <w:szCs w:val="32"/>
        </w:rPr>
        <w:t xml:space="preserve"> </w:t>
      </w:r>
      <w:r>
        <w:rPr>
          <w:rFonts w:ascii="仿宋_GB2312" w:hAnsi="宋体"/>
          <w:sz w:val="32"/>
          <w:szCs w:val="32"/>
        </w:rPr>
        <w:t xml:space="preserve"> （五）项目业主受到的安全、环保、质量处罚。</w:t>
      </w:r>
    </w:p>
    <w:p>
      <w:pPr>
        <w:widowControl/>
        <w:spacing w:line="580" w:lineRule="exact"/>
        <w:ind w:firstLine="640" w:firstLineChars="200"/>
        <w:rPr>
          <w:rFonts w:ascii="仿宋_GB2312"/>
          <w:sz w:val="32"/>
          <w:szCs w:val="32"/>
        </w:rPr>
      </w:pPr>
      <w:r>
        <w:rPr>
          <w:rFonts w:hint="eastAsia" w:ascii="仿宋_GB2312" w:hAnsi="宋体"/>
          <w:sz w:val="32"/>
          <w:szCs w:val="32"/>
        </w:rPr>
        <w:t>变更项目需重新认定，变更后不符合的将移出</w:t>
      </w:r>
      <w:r>
        <w:rPr>
          <w:rFonts w:hint="eastAsia" w:ascii="仿宋_GB2312"/>
          <w:sz w:val="32"/>
          <w:szCs w:val="32"/>
        </w:rPr>
        <w:t>“项目库”，并通知相关单位。</w:t>
      </w:r>
    </w:p>
    <w:p>
      <w:pPr>
        <w:widowControl/>
        <w:spacing w:line="580" w:lineRule="exact"/>
        <w:ind w:firstLine="645"/>
        <w:rPr>
          <w:sz w:val="32"/>
          <w:szCs w:val="32"/>
        </w:rPr>
      </w:pPr>
    </w:p>
    <w:p>
      <w:pPr>
        <w:widowControl/>
        <w:jc w:val="left"/>
        <w:rPr>
          <w:b/>
          <w:bCs/>
          <w:kern w:val="44"/>
          <w:szCs w:val="32"/>
        </w:rPr>
        <w:sectPr>
          <w:pgSz w:w="11906" w:h="16838"/>
          <w:pgMar w:top="1440" w:right="1800" w:bottom="1440" w:left="1800" w:header="720" w:footer="720" w:gutter="0"/>
          <w:cols w:space="720" w:num="1"/>
          <w:docGrid w:type="lines" w:linePitch="326" w:charSpace="0"/>
        </w:sectPr>
      </w:pPr>
    </w:p>
    <w:p>
      <w:pPr>
        <w:spacing w:line="580" w:lineRule="exact"/>
        <w:rPr>
          <w:rFonts w:ascii="黑体" w:hAnsi="黑体" w:eastAsia="黑体"/>
          <w:bCs/>
          <w:sz w:val="32"/>
          <w:szCs w:val="32"/>
        </w:rPr>
      </w:pPr>
      <w:r>
        <w:rPr>
          <w:rFonts w:hint="eastAsia" w:ascii="黑体" w:hAnsi="黑体" w:eastAsia="黑体"/>
          <w:bCs/>
          <w:sz w:val="32"/>
          <w:szCs w:val="32"/>
        </w:rPr>
        <w:t>附表４</w:t>
      </w:r>
      <w:r>
        <w:rPr>
          <w:rFonts w:ascii="黑体" w:hAnsi="黑体" w:eastAsia="黑体"/>
          <w:bCs/>
          <w:sz w:val="32"/>
          <w:szCs w:val="32"/>
        </w:rPr>
        <w:t xml:space="preserve">  </w:t>
      </w:r>
    </w:p>
    <w:p>
      <w:pPr>
        <w:spacing w:line="580" w:lineRule="exact"/>
        <w:jc w:val="center"/>
        <w:rPr>
          <w:rFonts w:ascii="方正小标宋简体" w:eastAsia="方正小标宋简体"/>
          <w:sz w:val="36"/>
          <w:szCs w:val="36"/>
        </w:rPr>
      </w:pPr>
      <w:r>
        <w:rPr>
          <w:rFonts w:hint="eastAsia" w:ascii="方正小标宋简体" w:hAnsi="宋体" w:eastAsia="方正小标宋简体"/>
          <w:bCs/>
          <w:sz w:val="36"/>
          <w:szCs w:val="36"/>
        </w:rPr>
        <w:t>绿色项目分类表</w:t>
      </w:r>
    </w:p>
    <w:tbl>
      <w:tblPr>
        <w:tblStyle w:val="7"/>
        <w:tblW w:w="9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973"/>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406" w:type="dxa"/>
            <w:vMerge w:val="restart"/>
            <w:vAlign w:val="center"/>
          </w:tcPr>
          <w:p>
            <w:pPr>
              <w:snapToGrid w:val="0"/>
              <w:spacing w:line="360" w:lineRule="exact"/>
              <w:jc w:val="center"/>
              <w:rPr>
                <w:rFonts w:ascii="宋体" w:hAnsi="宋体" w:eastAsia="宋体"/>
                <w:b/>
                <w:bCs/>
                <w:sz w:val="24"/>
              </w:rPr>
            </w:pPr>
            <w:r>
              <w:rPr>
                <w:rFonts w:ascii="宋体" w:hAnsi="宋体" w:eastAsia="宋体"/>
                <w:b/>
                <w:bCs/>
                <w:sz w:val="24"/>
              </w:rPr>
              <w:br w:type="page"/>
            </w:r>
            <w:r>
              <w:rPr>
                <w:rFonts w:hint="eastAsia" w:ascii="宋体" w:hAnsi="宋体" w:eastAsia="宋体"/>
                <w:b/>
                <w:bCs/>
                <w:sz w:val="24"/>
              </w:rPr>
              <w:t>一级目录</w:t>
            </w:r>
          </w:p>
        </w:tc>
        <w:tc>
          <w:tcPr>
            <w:tcW w:w="1973" w:type="dxa"/>
            <w:vMerge w:val="restart"/>
            <w:vAlign w:val="center"/>
          </w:tcPr>
          <w:p>
            <w:pPr>
              <w:snapToGrid w:val="0"/>
              <w:spacing w:line="360" w:lineRule="exact"/>
              <w:jc w:val="center"/>
              <w:rPr>
                <w:rFonts w:ascii="宋体" w:hAnsi="宋体" w:eastAsia="宋体"/>
                <w:b/>
                <w:bCs/>
                <w:sz w:val="24"/>
              </w:rPr>
            </w:pPr>
            <w:r>
              <w:rPr>
                <w:rFonts w:hint="eastAsia" w:ascii="宋体" w:hAnsi="宋体" w:eastAsia="宋体"/>
                <w:b/>
                <w:bCs/>
                <w:sz w:val="24"/>
              </w:rPr>
              <w:t>二级目录</w:t>
            </w:r>
          </w:p>
        </w:tc>
        <w:tc>
          <w:tcPr>
            <w:tcW w:w="5865" w:type="dxa"/>
            <w:vMerge w:val="restart"/>
            <w:vAlign w:val="center"/>
          </w:tcPr>
          <w:p>
            <w:pPr>
              <w:snapToGrid w:val="0"/>
              <w:spacing w:line="360" w:lineRule="exact"/>
              <w:jc w:val="center"/>
              <w:rPr>
                <w:rFonts w:ascii="宋体" w:hAnsi="宋体" w:eastAsia="宋体"/>
                <w:b/>
                <w:bCs/>
                <w:sz w:val="24"/>
              </w:rPr>
            </w:pPr>
            <w:r>
              <w:rPr>
                <w:rFonts w:hint="eastAsia" w:ascii="宋体" w:hAnsi="宋体" w:eastAsia="宋体"/>
                <w:b/>
                <w:bCs/>
                <w:sz w:val="24"/>
              </w:rPr>
              <w:t>三级目录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06" w:type="dxa"/>
            <w:vMerge w:val="continue"/>
            <w:vAlign w:val="center"/>
          </w:tcPr>
          <w:p>
            <w:pPr>
              <w:widowControl/>
              <w:jc w:val="left"/>
              <w:rPr>
                <w:rFonts w:ascii="宋体" w:hAnsi="宋体" w:eastAsia="宋体"/>
                <w:b/>
                <w:bCs/>
                <w:sz w:val="24"/>
              </w:rPr>
            </w:pPr>
          </w:p>
        </w:tc>
        <w:tc>
          <w:tcPr>
            <w:tcW w:w="1973" w:type="dxa"/>
            <w:vMerge w:val="continue"/>
            <w:vAlign w:val="center"/>
          </w:tcPr>
          <w:p>
            <w:pPr>
              <w:widowControl/>
              <w:jc w:val="left"/>
              <w:rPr>
                <w:rFonts w:ascii="宋体" w:hAnsi="宋体" w:eastAsia="宋体"/>
                <w:b/>
                <w:bCs/>
                <w:sz w:val="24"/>
              </w:rPr>
            </w:pPr>
          </w:p>
        </w:tc>
        <w:tc>
          <w:tcPr>
            <w:tcW w:w="5865" w:type="dxa"/>
            <w:vMerge w:val="continue"/>
            <w:vAlign w:val="center"/>
          </w:tcPr>
          <w:p>
            <w:pPr>
              <w:widowControl/>
              <w:jc w:val="left"/>
              <w:rPr>
                <w:rFonts w:ascii="宋体"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restart"/>
            <w:vAlign w:val="center"/>
          </w:tcPr>
          <w:p>
            <w:pPr>
              <w:snapToGrid w:val="0"/>
              <w:spacing w:line="360" w:lineRule="exact"/>
              <w:rPr>
                <w:rFonts w:ascii="宋体" w:hAnsi="宋体" w:eastAsia="宋体"/>
                <w:sz w:val="24"/>
              </w:rPr>
            </w:pPr>
            <w:r>
              <w:rPr>
                <w:rFonts w:ascii="宋体" w:hAnsi="宋体" w:eastAsia="宋体"/>
                <w:b/>
                <w:bCs/>
                <w:sz w:val="24"/>
              </w:rPr>
              <w:t>1.</w:t>
            </w:r>
            <w:r>
              <w:rPr>
                <w:rFonts w:hint="eastAsia" w:ascii="宋体" w:hAnsi="宋体" w:eastAsia="宋体"/>
                <w:b/>
                <w:bCs/>
                <w:sz w:val="24"/>
              </w:rPr>
              <w:t>碳汇林（竹）渔</w:t>
            </w:r>
          </w:p>
        </w:tc>
        <w:tc>
          <w:tcPr>
            <w:tcW w:w="1973" w:type="dxa"/>
            <w:vMerge w:val="restart"/>
            <w:vAlign w:val="center"/>
          </w:tcPr>
          <w:p>
            <w:pPr>
              <w:snapToGrid w:val="0"/>
              <w:spacing w:line="360" w:lineRule="exact"/>
              <w:rPr>
                <w:rFonts w:ascii="宋体" w:hAnsi="宋体" w:eastAsia="宋体"/>
                <w:b/>
                <w:bCs/>
                <w:sz w:val="24"/>
              </w:rPr>
            </w:pPr>
            <w:r>
              <w:rPr>
                <w:rFonts w:ascii="宋体" w:hAnsi="宋体" w:eastAsia="宋体"/>
                <w:sz w:val="24"/>
              </w:rPr>
              <w:t>1.1</w:t>
            </w:r>
            <w:r>
              <w:rPr>
                <w:rFonts w:hint="eastAsia" w:ascii="宋体" w:hAnsi="宋体" w:eastAsia="宋体"/>
                <w:sz w:val="24"/>
              </w:rPr>
              <w:t>固碳林</w:t>
            </w:r>
            <w:r>
              <w:rPr>
                <w:rFonts w:ascii="宋体" w:hAnsi="宋体" w:eastAsia="宋体"/>
                <w:sz w:val="24"/>
              </w:rPr>
              <w:t xml:space="preserve"> </w:t>
            </w:r>
            <w:r>
              <w:rPr>
                <w:rFonts w:hint="eastAsia" w:ascii="宋体" w:hAnsi="宋体" w:eastAsia="宋体"/>
                <w:sz w:val="24"/>
              </w:rPr>
              <w:t>（竹）业</w:t>
            </w:r>
          </w:p>
        </w:tc>
        <w:tc>
          <w:tcPr>
            <w:tcW w:w="5865" w:type="dxa"/>
            <w:vAlign w:val="center"/>
          </w:tcPr>
          <w:p>
            <w:pPr>
              <w:snapToGrid w:val="0"/>
              <w:spacing w:line="360" w:lineRule="exact"/>
              <w:rPr>
                <w:rFonts w:ascii="宋体" w:hAnsi="宋体" w:eastAsia="宋体"/>
                <w:b/>
                <w:bCs/>
                <w:sz w:val="24"/>
              </w:rPr>
            </w:pPr>
            <w:r>
              <w:rPr>
                <w:rFonts w:ascii="宋体" w:hAnsi="宋体" w:eastAsia="宋体"/>
                <w:sz w:val="24"/>
              </w:rPr>
              <w:t>1.1.1</w:t>
            </w:r>
            <w:r>
              <w:rPr>
                <w:rFonts w:hint="eastAsia" w:ascii="宋体" w:hAnsi="宋体" w:eastAsia="宋体"/>
                <w:sz w:val="24"/>
              </w:rPr>
              <w:t>森林（竹林）、碳汇林（竹）、植树种草及林木（竹）种苗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b/>
                <w:bCs/>
                <w:sz w:val="24"/>
              </w:rPr>
            </w:pPr>
          </w:p>
        </w:tc>
        <w:tc>
          <w:tcPr>
            <w:tcW w:w="5865" w:type="dxa"/>
            <w:vAlign w:val="center"/>
          </w:tcPr>
          <w:p>
            <w:pPr>
              <w:snapToGrid w:val="0"/>
              <w:spacing w:line="360" w:lineRule="exact"/>
              <w:rPr>
                <w:rFonts w:ascii="宋体" w:hAnsi="宋体" w:eastAsia="宋体"/>
                <w:b/>
                <w:bCs/>
                <w:sz w:val="24"/>
              </w:rPr>
            </w:pPr>
            <w:r>
              <w:rPr>
                <w:rFonts w:ascii="宋体" w:hAnsi="宋体" w:eastAsia="宋体"/>
                <w:sz w:val="24"/>
              </w:rPr>
              <w:t>1.1.2</w:t>
            </w:r>
            <w:r>
              <w:rPr>
                <w:rFonts w:hint="eastAsia" w:ascii="宋体" w:hAnsi="宋体" w:eastAsia="宋体"/>
                <w:sz w:val="24"/>
              </w:rPr>
              <w:t>森林（竹林）资源培育及林木（竹）资源保护产业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b/>
                <w:bCs/>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1.1.3</w:t>
            </w:r>
            <w:r>
              <w:rPr>
                <w:rFonts w:hint="eastAsia" w:ascii="宋体" w:hAnsi="宋体" w:eastAsia="宋体"/>
                <w:sz w:val="24"/>
              </w:rPr>
              <w:t>森林（竹林）游憩和康养产业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sz w:val="24"/>
              </w:rPr>
              <w:t>1.2</w:t>
            </w:r>
            <w:r>
              <w:rPr>
                <w:rFonts w:hint="eastAsia" w:ascii="宋体" w:hAnsi="宋体" w:eastAsia="宋体"/>
                <w:sz w:val="24"/>
              </w:rPr>
              <w:t>固碳绿化</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1.2.1</w:t>
            </w:r>
            <w:r>
              <w:rPr>
                <w:rFonts w:hint="eastAsia" w:ascii="宋体" w:hAnsi="宋体" w:eastAsia="宋体"/>
                <w:sz w:val="24"/>
              </w:rPr>
              <w:t>以“武夷山”为典型代表的国家公园、世界遗产、国家级风景名胜区、国家森林公园、国家地质公园、国家湿地公园等保护性运营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1.2.2</w:t>
            </w:r>
            <w:r>
              <w:rPr>
                <w:rFonts w:hint="eastAsia" w:ascii="宋体" w:hAnsi="宋体" w:eastAsia="宋体"/>
                <w:sz w:val="24"/>
              </w:rPr>
              <w:t>园林绿化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Align w:val="center"/>
          </w:tcPr>
          <w:p>
            <w:pPr>
              <w:snapToGrid w:val="0"/>
              <w:spacing w:line="360" w:lineRule="exact"/>
              <w:rPr>
                <w:rFonts w:ascii="宋体" w:hAnsi="宋体" w:eastAsia="宋体"/>
                <w:sz w:val="24"/>
              </w:rPr>
            </w:pPr>
            <w:r>
              <w:rPr>
                <w:rFonts w:ascii="宋体" w:hAnsi="宋体" w:eastAsia="宋体"/>
                <w:sz w:val="24"/>
              </w:rPr>
              <w:t>1.3</w:t>
            </w:r>
            <w:r>
              <w:rPr>
                <w:rFonts w:hint="eastAsia" w:ascii="宋体" w:hAnsi="宋体" w:eastAsia="宋体"/>
                <w:sz w:val="24"/>
              </w:rPr>
              <w:t>固碳渔业</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1.3.1</w:t>
            </w:r>
            <w:r>
              <w:rPr>
                <w:rFonts w:hint="eastAsia" w:ascii="宋体" w:hAnsi="宋体" w:eastAsia="宋体"/>
                <w:sz w:val="24"/>
              </w:rPr>
              <w:t>低碳渔业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restart"/>
            <w:vAlign w:val="center"/>
          </w:tcPr>
          <w:p>
            <w:pPr>
              <w:snapToGrid w:val="0"/>
              <w:spacing w:line="360" w:lineRule="exact"/>
              <w:rPr>
                <w:rFonts w:ascii="宋体" w:hAnsi="宋体" w:eastAsia="宋体"/>
                <w:spacing w:val="-10"/>
                <w:sz w:val="24"/>
              </w:rPr>
            </w:pPr>
            <w:r>
              <w:rPr>
                <w:rFonts w:ascii="宋体" w:hAnsi="宋体" w:eastAsia="宋体"/>
                <w:b/>
                <w:bCs/>
                <w:spacing w:val="-10"/>
                <w:sz w:val="24"/>
              </w:rPr>
              <w:t>2.</w:t>
            </w:r>
            <w:r>
              <w:rPr>
                <w:rFonts w:hint="eastAsia" w:ascii="宋体" w:hAnsi="宋体" w:eastAsia="宋体"/>
                <w:b/>
                <w:bCs/>
                <w:spacing w:val="-10"/>
                <w:sz w:val="24"/>
              </w:rPr>
              <w:t>低碳一产</w:t>
            </w:r>
          </w:p>
        </w:tc>
        <w:tc>
          <w:tcPr>
            <w:tcW w:w="1973" w:type="dxa"/>
            <w:vMerge w:val="restart"/>
            <w:vAlign w:val="center"/>
          </w:tcPr>
          <w:p>
            <w:pPr>
              <w:snapToGrid w:val="0"/>
              <w:spacing w:line="360" w:lineRule="exact"/>
              <w:rPr>
                <w:rFonts w:ascii="宋体" w:hAnsi="宋体" w:eastAsia="宋体"/>
                <w:sz w:val="24"/>
              </w:rPr>
            </w:pPr>
            <w:r>
              <w:rPr>
                <w:rFonts w:ascii="宋体" w:hAnsi="宋体" w:eastAsia="宋体"/>
                <w:sz w:val="24"/>
              </w:rPr>
              <w:t>2.1</w:t>
            </w:r>
            <w:r>
              <w:rPr>
                <w:rFonts w:hint="eastAsia" w:ascii="宋体" w:hAnsi="宋体" w:eastAsia="宋体"/>
                <w:sz w:val="24"/>
              </w:rPr>
              <w:t>生态林（竹）业</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2.1.1</w:t>
            </w:r>
            <w:r>
              <w:rPr>
                <w:rFonts w:hint="eastAsia" w:ascii="宋体" w:hAnsi="宋体" w:eastAsia="宋体"/>
                <w:sz w:val="24"/>
              </w:rPr>
              <w:t>林（竹）下种植和林（竹）下养殖产业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2.1.2</w:t>
            </w:r>
            <w:r>
              <w:rPr>
                <w:rFonts w:hint="eastAsia" w:ascii="宋体" w:hAnsi="宋体" w:eastAsia="宋体"/>
                <w:sz w:val="24"/>
              </w:rPr>
              <w:t>林（竹）业废弃物资源化利用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00" w:lineRule="exact"/>
              <w:rPr>
                <w:rFonts w:ascii="宋体" w:hAnsi="宋体" w:eastAsia="宋体"/>
                <w:sz w:val="24"/>
              </w:rPr>
            </w:pPr>
            <w:r>
              <w:rPr>
                <w:rFonts w:ascii="宋体" w:hAnsi="宋体" w:eastAsia="宋体"/>
                <w:sz w:val="24"/>
              </w:rPr>
              <w:t>2.2</w:t>
            </w:r>
            <w:r>
              <w:rPr>
                <w:rFonts w:hint="eastAsia" w:ascii="宋体" w:hAnsi="宋体" w:eastAsia="宋体"/>
                <w:sz w:val="24"/>
              </w:rPr>
              <w:t>低碳农业</w:t>
            </w:r>
          </w:p>
        </w:tc>
        <w:tc>
          <w:tcPr>
            <w:tcW w:w="5865" w:type="dxa"/>
            <w:vAlign w:val="center"/>
          </w:tcPr>
          <w:p>
            <w:pPr>
              <w:snapToGrid w:val="0"/>
              <w:spacing w:line="300" w:lineRule="exact"/>
              <w:rPr>
                <w:rFonts w:ascii="宋体" w:hAnsi="宋体" w:eastAsia="宋体"/>
                <w:sz w:val="24"/>
              </w:rPr>
            </w:pPr>
            <w:r>
              <w:rPr>
                <w:rFonts w:ascii="宋体" w:hAnsi="宋体" w:eastAsia="宋体"/>
                <w:sz w:val="24"/>
              </w:rPr>
              <w:t>2.2.1</w:t>
            </w:r>
            <w:r>
              <w:rPr>
                <w:rFonts w:hint="eastAsia" w:ascii="宋体" w:hAnsi="宋体" w:eastAsia="宋体"/>
                <w:sz w:val="24"/>
              </w:rPr>
              <w:t>生态循环农业、智慧农业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2.2.2</w:t>
            </w:r>
            <w:r>
              <w:rPr>
                <w:rFonts w:hint="eastAsia" w:ascii="宋体" w:hAnsi="宋体" w:eastAsia="宋体"/>
                <w:sz w:val="24"/>
              </w:rPr>
              <w:t>现代农业种业及动植物种质资源保护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2.2.3</w:t>
            </w:r>
            <w:r>
              <w:rPr>
                <w:rFonts w:hint="eastAsia" w:ascii="宋体" w:hAnsi="宋体" w:eastAsia="宋体"/>
                <w:sz w:val="24"/>
              </w:rPr>
              <w:t>绿色有机农业、绿色渔业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2.2.4</w:t>
            </w:r>
            <w:r>
              <w:rPr>
                <w:rFonts w:hint="eastAsia" w:ascii="宋体" w:hAnsi="宋体" w:eastAsia="宋体"/>
                <w:sz w:val="24"/>
              </w:rPr>
              <w:t>农作物种植保护地、保护区建设和运营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2.2.5</w:t>
            </w:r>
            <w:r>
              <w:rPr>
                <w:rFonts w:hint="eastAsia" w:ascii="宋体" w:hAnsi="宋体" w:eastAsia="宋体"/>
                <w:sz w:val="24"/>
              </w:rPr>
              <w:t>农田水利设施建设项目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2.2.6</w:t>
            </w:r>
            <w:r>
              <w:rPr>
                <w:rFonts w:hint="eastAsia" w:ascii="宋体" w:hAnsi="宋体" w:eastAsia="宋体"/>
                <w:sz w:val="24"/>
              </w:rPr>
              <w:t>耕地质量建设与保护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2.2.7</w:t>
            </w:r>
            <w:r>
              <w:rPr>
                <w:rFonts w:hint="eastAsia" w:ascii="宋体" w:hAnsi="宋体" w:eastAsia="宋体"/>
                <w:sz w:val="24"/>
              </w:rPr>
              <w:t>退耕还林（竹）</w:t>
            </w:r>
            <w:r>
              <w:rPr>
                <w:rFonts w:ascii="宋体" w:hAnsi="宋体" w:eastAsia="宋体"/>
                <w:sz w:val="24"/>
              </w:rPr>
              <w:t>/</w:t>
            </w:r>
            <w:r>
              <w:rPr>
                <w:rFonts w:hint="eastAsia" w:ascii="宋体" w:hAnsi="宋体" w:eastAsia="宋体"/>
                <w:sz w:val="24"/>
              </w:rPr>
              <w:t>还草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00" w:lineRule="exact"/>
              <w:rPr>
                <w:rFonts w:ascii="宋体" w:hAnsi="宋体" w:eastAsia="宋体"/>
                <w:sz w:val="24"/>
              </w:rPr>
            </w:pPr>
            <w:r>
              <w:rPr>
                <w:rFonts w:ascii="宋体" w:hAnsi="宋体" w:eastAsia="宋体"/>
                <w:sz w:val="24"/>
              </w:rPr>
              <w:t>2.3</w:t>
            </w:r>
            <w:r>
              <w:rPr>
                <w:rFonts w:hint="eastAsia" w:ascii="宋体" w:hAnsi="宋体" w:eastAsia="宋体"/>
                <w:sz w:val="24"/>
              </w:rPr>
              <w:t>农林（竹）灾害防治</w:t>
            </w:r>
          </w:p>
        </w:tc>
        <w:tc>
          <w:tcPr>
            <w:tcW w:w="5865" w:type="dxa"/>
            <w:vAlign w:val="center"/>
          </w:tcPr>
          <w:p>
            <w:pPr>
              <w:snapToGrid w:val="0"/>
              <w:spacing w:line="300" w:lineRule="exact"/>
              <w:rPr>
                <w:rFonts w:ascii="宋体" w:hAnsi="宋体" w:eastAsia="宋体"/>
                <w:sz w:val="24"/>
              </w:rPr>
            </w:pPr>
            <w:r>
              <w:rPr>
                <w:rFonts w:ascii="宋体" w:hAnsi="宋体" w:eastAsia="宋体"/>
                <w:sz w:val="24"/>
              </w:rPr>
              <w:t>2.3.1</w:t>
            </w:r>
            <w:r>
              <w:rPr>
                <w:rFonts w:hint="eastAsia" w:ascii="宋体" w:hAnsi="宋体" w:eastAsia="宋体"/>
                <w:sz w:val="24"/>
              </w:rPr>
              <w:t>有害生物灾害防治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kern w:val="0"/>
                <w:sz w:val="24"/>
              </w:rPr>
              <w:t>2.3.2</w:t>
            </w:r>
            <w:r>
              <w:rPr>
                <w:rFonts w:hint="eastAsia" w:ascii="宋体" w:hAnsi="宋体" w:eastAsia="宋体"/>
                <w:kern w:val="0"/>
                <w:sz w:val="24"/>
              </w:rPr>
              <w:t>农、林</w:t>
            </w:r>
            <w:r>
              <w:rPr>
                <w:rFonts w:hint="eastAsia" w:ascii="宋体" w:hAnsi="宋体" w:eastAsia="宋体"/>
                <w:sz w:val="24"/>
              </w:rPr>
              <w:t>（竹）</w:t>
            </w:r>
            <w:r>
              <w:rPr>
                <w:rFonts w:hint="eastAsia" w:ascii="宋体" w:hAnsi="宋体" w:eastAsia="宋体"/>
                <w:kern w:val="0"/>
                <w:sz w:val="24"/>
              </w:rPr>
              <w:t>业灾害预警与防治体系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restart"/>
            <w:vAlign w:val="center"/>
          </w:tcPr>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r>
              <w:rPr>
                <w:rFonts w:ascii="宋体" w:hAnsi="宋体" w:eastAsia="宋体"/>
                <w:b/>
                <w:bCs/>
                <w:spacing w:val="-10"/>
                <w:sz w:val="24"/>
              </w:rPr>
              <w:t>3.</w:t>
            </w:r>
            <w:r>
              <w:rPr>
                <w:rFonts w:hint="eastAsia" w:ascii="宋体" w:hAnsi="宋体" w:eastAsia="宋体"/>
                <w:b/>
                <w:bCs/>
                <w:spacing w:val="-10"/>
                <w:sz w:val="24"/>
              </w:rPr>
              <w:t>降碳节能</w:t>
            </w: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b/>
                <w:bCs/>
                <w:spacing w:val="-10"/>
                <w:sz w:val="24"/>
              </w:rPr>
            </w:pPr>
          </w:p>
          <w:p>
            <w:pPr>
              <w:snapToGrid w:val="0"/>
              <w:spacing w:line="360" w:lineRule="exact"/>
              <w:rPr>
                <w:rFonts w:ascii="宋体" w:hAnsi="宋体" w:eastAsia="宋体"/>
                <w:spacing w:val="-10"/>
                <w:sz w:val="24"/>
              </w:rPr>
            </w:pPr>
          </w:p>
        </w:tc>
        <w:tc>
          <w:tcPr>
            <w:tcW w:w="1973" w:type="dxa"/>
            <w:vMerge w:val="restart"/>
            <w:vAlign w:val="center"/>
          </w:tcPr>
          <w:p>
            <w:pPr>
              <w:snapToGrid w:val="0"/>
              <w:spacing w:line="300" w:lineRule="exact"/>
              <w:rPr>
                <w:rFonts w:ascii="宋体" w:hAnsi="宋体" w:eastAsia="宋体"/>
                <w:sz w:val="24"/>
              </w:rPr>
            </w:pPr>
            <w:r>
              <w:rPr>
                <w:rFonts w:ascii="宋体" w:hAnsi="宋体" w:eastAsia="宋体"/>
                <w:sz w:val="24"/>
              </w:rPr>
              <w:t>3.1</w:t>
            </w:r>
            <w:r>
              <w:rPr>
                <w:rFonts w:hint="eastAsia" w:ascii="宋体" w:hAnsi="宋体" w:eastAsia="宋体"/>
                <w:sz w:val="24"/>
              </w:rPr>
              <w:t>生产过程能源高效利用</w:t>
            </w:r>
          </w:p>
        </w:tc>
        <w:tc>
          <w:tcPr>
            <w:tcW w:w="5865" w:type="dxa"/>
            <w:vAlign w:val="center"/>
          </w:tcPr>
          <w:p>
            <w:pPr>
              <w:snapToGrid w:val="0"/>
              <w:spacing w:line="300" w:lineRule="exact"/>
              <w:rPr>
                <w:rFonts w:ascii="宋体" w:hAnsi="宋体" w:eastAsia="宋体"/>
                <w:sz w:val="24"/>
              </w:rPr>
            </w:pPr>
            <w:r>
              <w:rPr>
                <w:rFonts w:ascii="宋体" w:hAnsi="宋体" w:eastAsia="宋体"/>
                <w:sz w:val="24"/>
              </w:rPr>
              <w:t>3.1</w:t>
            </w:r>
            <w:r>
              <w:rPr>
                <w:rFonts w:ascii="宋体" w:hAnsi="宋体" w:eastAsia="宋体"/>
                <w:kern w:val="0"/>
                <w:sz w:val="24"/>
              </w:rPr>
              <w:t>.1</w:t>
            </w:r>
            <w:r>
              <w:rPr>
                <w:rFonts w:hint="eastAsia" w:ascii="宋体" w:hAnsi="宋体" w:eastAsia="宋体"/>
                <w:kern w:val="0"/>
                <w:sz w:val="24"/>
              </w:rPr>
              <w:t>工业设备系统能效提升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3.1</w:t>
            </w:r>
            <w:r>
              <w:rPr>
                <w:rFonts w:ascii="宋体" w:hAnsi="宋体" w:eastAsia="宋体"/>
                <w:kern w:val="0"/>
                <w:sz w:val="24"/>
              </w:rPr>
              <w:t>.2</w:t>
            </w:r>
            <w:r>
              <w:rPr>
                <w:rFonts w:hint="eastAsia" w:ascii="宋体" w:hAnsi="宋体" w:eastAsia="宋体"/>
                <w:kern w:val="0"/>
                <w:sz w:val="24"/>
              </w:rPr>
              <w:t>产品（工序）能效提升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3.1</w:t>
            </w:r>
            <w:r>
              <w:rPr>
                <w:rFonts w:ascii="宋体" w:hAnsi="宋体" w:eastAsia="宋体"/>
                <w:kern w:val="0"/>
                <w:sz w:val="24"/>
              </w:rPr>
              <w:t>.3</w:t>
            </w:r>
            <w:r>
              <w:rPr>
                <w:rFonts w:hint="eastAsia" w:ascii="宋体" w:hAnsi="宋体" w:eastAsia="宋体"/>
                <w:kern w:val="0"/>
                <w:sz w:val="24"/>
              </w:rPr>
              <w:t>工业余热余压利用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3.1</w:t>
            </w:r>
            <w:r>
              <w:rPr>
                <w:rFonts w:ascii="宋体" w:hAnsi="宋体" w:eastAsia="宋体"/>
                <w:kern w:val="0"/>
                <w:sz w:val="24"/>
              </w:rPr>
              <w:t>.4</w:t>
            </w:r>
            <w:r>
              <w:rPr>
                <w:rFonts w:hint="eastAsia" w:ascii="宋体" w:hAnsi="宋体" w:eastAsia="宋体"/>
                <w:kern w:val="0"/>
                <w:sz w:val="24"/>
              </w:rPr>
              <w:t>能源系统高效运行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3.1</w:t>
            </w:r>
            <w:r>
              <w:rPr>
                <w:rFonts w:ascii="宋体" w:hAnsi="宋体" w:eastAsia="宋体"/>
                <w:kern w:val="0"/>
                <w:sz w:val="24"/>
              </w:rPr>
              <w:t>.5</w:t>
            </w:r>
            <w:r>
              <w:rPr>
                <w:rFonts w:hint="eastAsia" w:ascii="宋体" w:hAnsi="宋体" w:eastAsia="宋体"/>
                <w:kern w:val="0"/>
                <w:sz w:val="24"/>
              </w:rPr>
              <w:t>绿色照明改造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00" w:lineRule="exact"/>
              <w:rPr>
                <w:rFonts w:ascii="宋体" w:hAnsi="宋体" w:eastAsia="宋体"/>
                <w:sz w:val="24"/>
              </w:rPr>
            </w:pPr>
            <w:r>
              <w:rPr>
                <w:rFonts w:ascii="宋体" w:hAnsi="宋体" w:eastAsia="宋体"/>
                <w:sz w:val="24"/>
              </w:rPr>
              <w:t>3.2</w:t>
            </w:r>
            <w:r>
              <w:rPr>
                <w:rFonts w:hint="eastAsia" w:ascii="宋体" w:hAnsi="宋体" w:eastAsia="宋体"/>
                <w:sz w:val="24"/>
              </w:rPr>
              <w:t>产业园区升级改造</w:t>
            </w:r>
          </w:p>
        </w:tc>
        <w:tc>
          <w:tcPr>
            <w:tcW w:w="5865" w:type="dxa"/>
            <w:vAlign w:val="center"/>
          </w:tcPr>
          <w:p>
            <w:pPr>
              <w:snapToGrid w:val="0"/>
              <w:spacing w:line="300" w:lineRule="exact"/>
              <w:rPr>
                <w:rFonts w:ascii="宋体" w:hAnsi="宋体" w:eastAsia="宋体"/>
                <w:sz w:val="24"/>
              </w:rPr>
            </w:pPr>
            <w:r>
              <w:rPr>
                <w:rFonts w:ascii="宋体" w:hAnsi="宋体" w:eastAsia="宋体"/>
                <w:sz w:val="24"/>
              </w:rPr>
              <w:t xml:space="preserve">3.2.1 </w:t>
            </w:r>
            <w:r>
              <w:rPr>
                <w:rFonts w:hint="eastAsia" w:ascii="宋体" w:hAnsi="宋体" w:eastAsia="宋体"/>
                <w:sz w:val="24"/>
              </w:rPr>
              <w:t>园区循环化改造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spacing w:line="300" w:lineRule="exact"/>
              <w:jc w:val="left"/>
              <w:rPr>
                <w:rFonts w:ascii="宋体" w:hAnsi="宋体" w:eastAsia="宋体"/>
                <w:sz w:val="24"/>
              </w:rPr>
            </w:pPr>
          </w:p>
        </w:tc>
        <w:tc>
          <w:tcPr>
            <w:tcW w:w="5865" w:type="dxa"/>
            <w:vAlign w:val="center"/>
          </w:tcPr>
          <w:p>
            <w:pPr>
              <w:snapToGrid w:val="0"/>
              <w:spacing w:line="300" w:lineRule="exact"/>
              <w:rPr>
                <w:rFonts w:ascii="宋体" w:hAnsi="宋体" w:eastAsia="宋体"/>
                <w:sz w:val="24"/>
              </w:rPr>
            </w:pPr>
            <w:r>
              <w:rPr>
                <w:rFonts w:ascii="宋体" w:hAnsi="宋体" w:eastAsia="宋体"/>
                <w:sz w:val="24"/>
              </w:rPr>
              <w:t>3.2.2</w:t>
            </w:r>
            <w:r>
              <w:rPr>
                <w:rFonts w:hint="eastAsia" w:ascii="宋体" w:hAnsi="宋体" w:eastAsia="宋体"/>
                <w:sz w:val="24"/>
              </w:rPr>
              <w:t>园区资源利用高效化改造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Align w:val="center"/>
          </w:tcPr>
          <w:p>
            <w:pPr>
              <w:snapToGrid w:val="0"/>
              <w:spacing w:line="300" w:lineRule="exact"/>
              <w:rPr>
                <w:rFonts w:ascii="宋体" w:hAnsi="宋体" w:eastAsia="宋体"/>
                <w:spacing w:val="-10"/>
                <w:sz w:val="24"/>
              </w:rPr>
            </w:pPr>
            <w:r>
              <w:rPr>
                <w:rFonts w:ascii="宋体" w:hAnsi="宋体" w:eastAsia="宋体"/>
                <w:spacing w:val="-10"/>
                <w:sz w:val="24"/>
              </w:rPr>
              <w:t>3.3</w:t>
            </w:r>
            <w:r>
              <w:rPr>
                <w:rFonts w:hint="eastAsia" w:ascii="宋体" w:hAnsi="宋体" w:eastAsia="宋体"/>
                <w:spacing w:val="-10"/>
                <w:sz w:val="24"/>
              </w:rPr>
              <w:t>建筑节能改造</w:t>
            </w:r>
          </w:p>
        </w:tc>
        <w:tc>
          <w:tcPr>
            <w:tcW w:w="5865" w:type="dxa"/>
            <w:vAlign w:val="center"/>
          </w:tcPr>
          <w:p>
            <w:pPr>
              <w:snapToGrid w:val="0"/>
              <w:spacing w:line="300" w:lineRule="exact"/>
              <w:rPr>
                <w:rFonts w:ascii="宋体" w:hAnsi="宋体" w:eastAsia="宋体"/>
                <w:spacing w:val="-10"/>
                <w:sz w:val="24"/>
              </w:rPr>
            </w:pPr>
            <w:r>
              <w:rPr>
                <w:rFonts w:ascii="宋体" w:hAnsi="宋体" w:eastAsia="宋体"/>
                <w:spacing w:val="-10"/>
                <w:sz w:val="24"/>
              </w:rPr>
              <w:t xml:space="preserve">3.3.1 </w:t>
            </w:r>
            <w:r>
              <w:rPr>
                <w:rFonts w:hint="eastAsia" w:ascii="宋体" w:hAnsi="宋体" w:eastAsia="宋体"/>
                <w:spacing w:val="-10"/>
                <w:sz w:val="24"/>
              </w:rPr>
              <w:t>既有建筑绿色改造及可再生能源建筑应用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00" w:lineRule="exact"/>
              <w:rPr>
                <w:rFonts w:ascii="宋体" w:hAnsi="宋体" w:eastAsia="宋体"/>
                <w:sz w:val="24"/>
              </w:rPr>
            </w:pPr>
            <w:r>
              <w:rPr>
                <w:rFonts w:ascii="宋体" w:hAnsi="宋体" w:eastAsia="宋体"/>
                <w:sz w:val="24"/>
              </w:rPr>
              <w:t>3.4</w:t>
            </w:r>
            <w:r>
              <w:rPr>
                <w:rFonts w:hint="eastAsia" w:ascii="宋体" w:hAnsi="宋体" w:eastAsia="宋体"/>
                <w:sz w:val="24"/>
              </w:rPr>
              <w:t>资源节约与循环利用</w:t>
            </w:r>
          </w:p>
        </w:tc>
        <w:tc>
          <w:tcPr>
            <w:tcW w:w="5865" w:type="dxa"/>
            <w:vAlign w:val="center"/>
          </w:tcPr>
          <w:p>
            <w:pPr>
              <w:snapToGrid w:val="0"/>
              <w:spacing w:line="300" w:lineRule="exact"/>
              <w:rPr>
                <w:rFonts w:ascii="宋体" w:hAnsi="宋体" w:eastAsia="宋体"/>
                <w:sz w:val="24"/>
              </w:rPr>
            </w:pPr>
            <w:r>
              <w:rPr>
                <w:rFonts w:ascii="宋体" w:hAnsi="宋体" w:eastAsia="宋体"/>
                <w:sz w:val="24"/>
              </w:rPr>
              <w:t>3.4.1</w:t>
            </w:r>
            <w:r>
              <w:rPr>
                <w:rFonts w:hint="eastAsia" w:ascii="宋体" w:hAnsi="宋体" w:eastAsia="宋体"/>
                <w:sz w:val="24"/>
              </w:rPr>
              <w:t>生产过程节水和水资源高效利用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3.4.2</w:t>
            </w:r>
            <w:r>
              <w:rPr>
                <w:rFonts w:hint="eastAsia" w:ascii="宋体" w:hAnsi="宋体" w:eastAsia="宋体"/>
                <w:sz w:val="24"/>
              </w:rPr>
              <w:t>工业和建筑固废资源综合利用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3.4.3</w:t>
            </w:r>
            <w:r>
              <w:rPr>
                <w:rFonts w:hint="eastAsia" w:ascii="宋体" w:hAnsi="宋体" w:eastAsia="宋体"/>
                <w:sz w:val="24"/>
              </w:rPr>
              <w:t>废旧资源再生利用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3.4.4</w:t>
            </w:r>
            <w:r>
              <w:rPr>
                <w:rFonts w:hint="eastAsia" w:ascii="宋体" w:hAnsi="宋体" w:eastAsia="宋体"/>
                <w:kern w:val="0"/>
                <w:sz w:val="24"/>
              </w:rPr>
              <w:t>汽车零部件及机电产品再制造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restart"/>
            <w:vAlign w:val="center"/>
          </w:tcPr>
          <w:p>
            <w:pPr>
              <w:snapToGrid w:val="0"/>
              <w:spacing w:line="360" w:lineRule="exact"/>
              <w:rPr>
                <w:rFonts w:ascii="宋体" w:hAnsi="宋体" w:eastAsia="宋体"/>
                <w:spacing w:val="-10"/>
                <w:sz w:val="24"/>
              </w:rPr>
            </w:pPr>
            <w:r>
              <w:rPr>
                <w:rFonts w:ascii="宋体" w:hAnsi="宋体" w:eastAsia="宋体"/>
                <w:b/>
                <w:bCs/>
                <w:spacing w:val="-10"/>
                <w:sz w:val="24"/>
              </w:rPr>
              <w:t>4.</w:t>
            </w:r>
            <w:r>
              <w:rPr>
                <w:rFonts w:hint="eastAsia" w:ascii="宋体" w:hAnsi="宋体" w:eastAsia="宋体"/>
                <w:b/>
                <w:bCs/>
                <w:spacing w:val="-10"/>
                <w:sz w:val="24"/>
              </w:rPr>
              <w:t>低碳新兴</w:t>
            </w:r>
          </w:p>
        </w:tc>
        <w:tc>
          <w:tcPr>
            <w:tcW w:w="1973" w:type="dxa"/>
            <w:vMerge w:val="restart"/>
            <w:vAlign w:val="center"/>
          </w:tcPr>
          <w:p>
            <w:pPr>
              <w:snapToGrid w:val="0"/>
              <w:spacing w:line="360" w:lineRule="exact"/>
              <w:rPr>
                <w:rFonts w:ascii="宋体" w:hAnsi="宋体" w:eastAsia="宋体"/>
                <w:sz w:val="24"/>
                <w:highlight w:val="yellow"/>
              </w:rPr>
            </w:pPr>
            <w:r>
              <w:rPr>
                <w:rFonts w:ascii="宋体" w:hAnsi="宋体" w:eastAsia="宋体"/>
                <w:sz w:val="24"/>
              </w:rPr>
              <w:t>4.1</w:t>
            </w:r>
            <w:r>
              <w:rPr>
                <w:rFonts w:hint="eastAsia" w:ascii="宋体" w:hAnsi="宋体" w:eastAsia="宋体"/>
                <w:sz w:val="24"/>
              </w:rPr>
              <w:t>节能环保装备</w:t>
            </w:r>
          </w:p>
        </w:tc>
        <w:tc>
          <w:tcPr>
            <w:tcW w:w="5865" w:type="dxa"/>
            <w:vAlign w:val="center"/>
          </w:tcPr>
          <w:p>
            <w:pPr>
              <w:snapToGrid w:val="0"/>
              <w:spacing w:line="360" w:lineRule="exact"/>
              <w:rPr>
                <w:rFonts w:ascii="宋体" w:hAnsi="宋体" w:eastAsia="宋体"/>
                <w:sz w:val="24"/>
                <w:highlight w:val="yellow"/>
              </w:rPr>
            </w:pPr>
            <w:r>
              <w:rPr>
                <w:rFonts w:ascii="宋体" w:hAnsi="宋体" w:eastAsia="宋体"/>
                <w:sz w:val="24"/>
              </w:rPr>
              <w:t>4.1.1</w:t>
            </w:r>
            <w:r>
              <w:rPr>
                <w:rFonts w:hint="eastAsia" w:ascii="宋体" w:hAnsi="宋体" w:eastAsia="宋体"/>
                <w:sz w:val="24"/>
              </w:rPr>
              <w:t>高效节能装备制造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highlight w:val="yellow"/>
              </w:rPr>
            </w:pPr>
            <w:r>
              <w:rPr>
                <w:rFonts w:ascii="宋体" w:hAnsi="宋体" w:eastAsia="宋体"/>
                <w:sz w:val="24"/>
              </w:rPr>
              <w:t>4.1.2</w:t>
            </w:r>
            <w:r>
              <w:rPr>
                <w:rFonts w:hint="eastAsia" w:ascii="宋体" w:hAnsi="宋体" w:eastAsia="宋体"/>
                <w:sz w:val="24"/>
              </w:rPr>
              <w:t>先进环保装备制造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highlight w:val="yellow"/>
              </w:rPr>
            </w:pPr>
            <w:r>
              <w:rPr>
                <w:rFonts w:ascii="宋体" w:hAnsi="宋体" w:eastAsia="宋体"/>
                <w:sz w:val="24"/>
              </w:rPr>
              <w:t>4.1.3</w:t>
            </w:r>
            <w:r>
              <w:rPr>
                <w:rFonts w:hint="eastAsia" w:ascii="宋体" w:hAnsi="宋体" w:eastAsia="宋体"/>
                <w:sz w:val="24"/>
              </w:rPr>
              <w:t>资源循环利用装备制造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60" w:lineRule="exact"/>
              <w:rPr>
                <w:rFonts w:ascii="宋体" w:hAnsi="宋体" w:eastAsia="宋体"/>
                <w:sz w:val="24"/>
                <w:highlight w:val="yellow"/>
              </w:rPr>
            </w:pPr>
            <w:r>
              <w:rPr>
                <w:rFonts w:ascii="宋体" w:hAnsi="宋体" w:eastAsia="宋体"/>
                <w:sz w:val="24"/>
              </w:rPr>
              <w:t>4.2</w:t>
            </w:r>
            <w:r>
              <w:rPr>
                <w:rFonts w:hint="eastAsia" w:ascii="宋体" w:hAnsi="宋体" w:eastAsia="宋体"/>
                <w:sz w:val="24"/>
              </w:rPr>
              <w:t>清洁能源装备及利用</w:t>
            </w:r>
          </w:p>
        </w:tc>
        <w:tc>
          <w:tcPr>
            <w:tcW w:w="5865" w:type="dxa"/>
            <w:vAlign w:val="center"/>
          </w:tcPr>
          <w:p>
            <w:pPr>
              <w:snapToGrid w:val="0"/>
              <w:spacing w:line="360" w:lineRule="exact"/>
              <w:rPr>
                <w:rFonts w:ascii="宋体" w:hAnsi="宋体" w:eastAsia="宋体"/>
                <w:sz w:val="24"/>
                <w:highlight w:val="yellow"/>
              </w:rPr>
            </w:pPr>
            <w:r>
              <w:rPr>
                <w:rFonts w:ascii="宋体" w:hAnsi="宋体" w:eastAsia="宋体"/>
                <w:sz w:val="24"/>
              </w:rPr>
              <w:t>4.2.1</w:t>
            </w:r>
            <w:r>
              <w:rPr>
                <w:rFonts w:hint="eastAsia" w:ascii="宋体" w:hAnsi="宋体" w:eastAsia="宋体"/>
                <w:sz w:val="24"/>
              </w:rPr>
              <w:t>清洁能源装备制造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4.2.2</w:t>
            </w:r>
            <w:r>
              <w:rPr>
                <w:rFonts w:hint="eastAsia" w:ascii="宋体" w:hAnsi="宋体" w:eastAsia="宋体"/>
                <w:sz w:val="24"/>
              </w:rPr>
              <w:t>风力发电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4.2.3</w:t>
            </w:r>
            <w:r>
              <w:rPr>
                <w:rFonts w:hint="eastAsia" w:ascii="宋体" w:hAnsi="宋体" w:eastAsia="宋体"/>
                <w:sz w:val="24"/>
              </w:rPr>
              <w:t>太阳能发电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4.2.4</w:t>
            </w:r>
            <w:r>
              <w:rPr>
                <w:rFonts w:hint="eastAsia" w:ascii="宋体" w:hAnsi="宋体" w:eastAsia="宋体"/>
                <w:sz w:val="24"/>
              </w:rPr>
              <w:t>生物质能源利用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4.2.5</w:t>
            </w:r>
            <w:r>
              <w:rPr>
                <w:rFonts w:hint="eastAsia" w:ascii="宋体" w:hAnsi="宋体" w:eastAsia="宋体"/>
                <w:sz w:val="24"/>
              </w:rPr>
              <w:t>水力发电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4.2.6</w:t>
            </w:r>
            <w:r>
              <w:rPr>
                <w:rFonts w:hint="eastAsia" w:ascii="宋体" w:hAnsi="宋体" w:eastAsia="宋体"/>
                <w:sz w:val="24"/>
              </w:rPr>
              <w:t>地热能利用设施建设和运营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4.2.7</w:t>
            </w:r>
            <w:r>
              <w:rPr>
                <w:rFonts w:hint="eastAsia" w:ascii="宋体" w:hAnsi="宋体" w:eastAsia="宋体"/>
                <w:sz w:val="24"/>
              </w:rPr>
              <w:t>氢能利用设施建设和运营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highlight w:val="yellow"/>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4.2.8</w:t>
            </w:r>
            <w:r>
              <w:rPr>
                <w:rFonts w:hint="eastAsia" w:ascii="宋体" w:hAnsi="宋体" w:eastAsia="宋体"/>
                <w:sz w:val="24"/>
              </w:rPr>
              <w:t>二氧化碳捕集、利用与封存工程建设和运营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kern w:val="0"/>
                <w:sz w:val="24"/>
              </w:rPr>
              <w:t>4.3</w:t>
            </w:r>
            <w:r>
              <w:rPr>
                <w:rFonts w:hint="eastAsia" w:ascii="宋体" w:hAnsi="宋体" w:eastAsia="宋体"/>
                <w:kern w:val="0"/>
                <w:sz w:val="24"/>
              </w:rPr>
              <w:t>新能源汽车</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4.3.1</w:t>
            </w:r>
            <w:r>
              <w:rPr>
                <w:rFonts w:hint="eastAsia" w:ascii="宋体" w:hAnsi="宋体" w:eastAsia="宋体"/>
                <w:sz w:val="24"/>
              </w:rPr>
              <w:t>整车制造及消费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4.3.2</w:t>
            </w:r>
            <w:r>
              <w:rPr>
                <w:rFonts w:hint="eastAsia" w:ascii="宋体" w:hAnsi="宋体" w:eastAsia="宋体"/>
                <w:sz w:val="24"/>
              </w:rPr>
              <w:t>关键零部件及配套设施生产制造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sz w:val="24"/>
              </w:rPr>
              <w:t>4.4</w:t>
            </w:r>
            <w:r>
              <w:rPr>
                <w:rFonts w:hint="eastAsia" w:ascii="宋体" w:hAnsi="宋体" w:eastAsia="宋体"/>
                <w:spacing w:val="-14"/>
                <w:sz w:val="24"/>
              </w:rPr>
              <w:t>节能低碳服务</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4.4.1</w:t>
            </w:r>
            <w:r>
              <w:rPr>
                <w:rFonts w:hint="eastAsia" w:ascii="宋体" w:hAnsi="宋体" w:eastAsia="宋体"/>
                <w:sz w:val="24"/>
              </w:rPr>
              <w:t>节能环保服务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4.4.2</w:t>
            </w:r>
            <w:r>
              <w:rPr>
                <w:rFonts w:hint="eastAsia" w:ascii="宋体" w:hAnsi="宋体" w:eastAsia="宋体"/>
                <w:sz w:val="24"/>
              </w:rPr>
              <w:t>节能环保产品认证与推广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4.4.3</w:t>
            </w:r>
            <w:r>
              <w:rPr>
                <w:rFonts w:hint="eastAsia" w:ascii="宋体" w:hAnsi="宋体" w:eastAsia="宋体"/>
                <w:sz w:val="24"/>
              </w:rPr>
              <w:t>环境权益交易服务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4.4.4</w:t>
            </w:r>
            <w:r>
              <w:rPr>
                <w:rFonts w:hint="eastAsia" w:ascii="宋体" w:hAnsi="宋体" w:eastAsia="宋体"/>
                <w:sz w:val="24"/>
              </w:rPr>
              <w:t>节水服务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restart"/>
            <w:vAlign w:val="center"/>
          </w:tcPr>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r>
              <w:rPr>
                <w:rFonts w:ascii="宋体" w:hAnsi="宋体" w:eastAsia="宋体"/>
                <w:b/>
                <w:bCs/>
                <w:sz w:val="24"/>
              </w:rPr>
              <w:t>5.</w:t>
            </w:r>
            <w:r>
              <w:rPr>
                <w:rFonts w:hint="eastAsia" w:ascii="宋体" w:hAnsi="宋体" w:eastAsia="宋体"/>
                <w:b/>
                <w:bCs/>
                <w:sz w:val="24"/>
              </w:rPr>
              <w:t>气候适应城市</w:t>
            </w: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b/>
                <w:bCs/>
                <w:sz w:val="24"/>
              </w:rPr>
            </w:pPr>
          </w:p>
          <w:p>
            <w:pPr>
              <w:snapToGrid w:val="0"/>
              <w:spacing w:line="360" w:lineRule="exact"/>
              <w:rPr>
                <w:rFonts w:ascii="宋体" w:hAnsi="宋体" w:eastAsia="宋体"/>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sz w:val="24"/>
              </w:rPr>
              <w:t>5.1</w:t>
            </w:r>
            <w:r>
              <w:rPr>
                <w:rFonts w:hint="eastAsia" w:ascii="宋体" w:hAnsi="宋体" w:eastAsia="宋体"/>
                <w:sz w:val="24"/>
              </w:rPr>
              <w:t>城乡综合基础设施</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 xml:space="preserve">5.1.1 </w:t>
            </w:r>
            <w:r>
              <w:rPr>
                <w:rFonts w:hint="eastAsia" w:ascii="宋体" w:hAnsi="宋体" w:eastAsia="宋体"/>
                <w:sz w:val="24"/>
              </w:rPr>
              <w:t>环境监测系统建设和运营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 xml:space="preserve">5.1.2 </w:t>
            </w:r>
            <w:r>
              <w:rPr>
                <w:rFonts w:hint="eastAsia" w:ascii="宋体" w:hAnsi="宋体" w:eastAsia="宋体"/>
                <w:sz w:val="24"/>
              </w:rPr>
              <w:t>农村饮水安全工程及城镇供水管网分区计量漏损控制建设和运营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 xml:space="preserve">5.1.3 </w:t>
            </w:r>
            <w:r>
              <w:rPr>
                <w:rFonts w:hint="eastAsia" w:ascii="宋体" w:hAnsi="宋体" w:eastAsia="宋体"/>
                <w:sz w:val="24"/>
              </w:rPr>
              <w:t>城镇能源基础设施建设运营和改造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5.1.4</w:t>
            </w:r>
            <w:r>
              <w:rPr>
                <w:rFonts w:hint="eastAsia" w:ascii="宋体" w:hAnsi="宋体" w:eastAsia="宋体"/>
                <w:sz w:val="24"/>
              </w:rPr>
              <w:t>智慧城市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5.1.5</w:t>
            </w:r>
            <w:r>
              <w:rPr>
                <w:rFonts w:hint="eastAsia" w:ascii="宋体" w:hAnsi="宋体" w:eastAsia="宋体"/>
                <w:sz w:val="24"/>
              </w:rPr>
              <w:t>海绵城市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5.1.6</w:t>
            </w:r>
            <w:r>
              <w:rPr>
                <w:rFonts w:hint="eastAsia" w:ascii="宋体" w:hAnsi="宋体" w:eastAsia="宋体"/>
                <w:sz w:val="24"/>
              </w:rPr>
              <w:t>地下综合管廊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kern w:val="0"/>
                <w:sz w:val="24"/>
              </w:rPr>
              <w:t>5.2</w:t>
            </w:r>
            <w:r>
              <w:rPr>
                <w:rFonts w:hint="eastAsia" w:ascii="宋体" w:hAnsi="宋体" w:eastAsia="宋体"/>
                <w:kern w:val="0"/>
                <w:sz w:val="24"/>
              </w:rPr>
              <w:t>城镇能源基础设施</w:t>
            </w: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5.2.1</w:t>
            </w:r>
            <w:r>
              <w:rPr>
                <w:rFonts w:hint="eastAsia" w:ascii="宋体" w:hAnsi="宋体" w:eastAsia="宋体"/>
                <w:kern w:val="0"/>
                <w:sz w:val="24"/>
              </w:rPr>
              <w:t>智能电网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5.2.2</w:t>
            </w:r>
            <w:r>
              <w:rPr>
                <w:rFonts w:hint="eastAsia" w:ascii="宋体" w:hAnsi="宋体" w:eastAsia="宋体"/>
                <w:kern w:val="0"/>
                <w:sz w:val="24"/>
              </w:rPr>
              <w:t>分布式能源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5.2.3</w:t>
            </w:r>
            <w:r>
              <w:rPr>
                <w:rFonts w:hint="eastAsia" w:ascii="宋体" w:hAnsi="宋体" w:eastAsia="宋体"/>
                <w:kern w:val="0"/>
                <w:sz w:val="24"/>
              </w:rPr>
              <w:t>特高压电网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restart"/>
            <w:vAlign w:val="center"/>
          </w:tcPr>
          <w:p>
            <w:pPr>
              <w:snapToGrid w:val="0"/>
              <w:spacing w:before="119" w:beforeLines="20" w:line="360" w:lineRule="exact"/>
              <w:rPr>
                <w:rFonts w:ascii="宋体" w:hAnsi="宋体" w:eastAsia="宋体"/>
                <w:sz w:val="24"/>
              </w:rPr>
            </w:pPr>
            <w:r>
              <w:rPr>
                <w:rFonts w:ascii="宋体" w:hAnsi="宋体" w:eastAsia="宋体"/>
                <w:sz w:val="24"/>
              </w:rPr>
              <w:t>5.3</w:t>
            </w:r>
            <w:r>
              <w:rPr>
                <w:rFonts w:hint="eastAsia" w:ascii="宋体" w:hAnsi="宋体" w:eastAsia="宋体"/>
                <w:sz w:val="24"/>
              </w:rPr>
              <w:t>绿色交通基础设施</w:t>
            </w:r>
          </w:p>
          <w:p>
            <w:pPr>
              <w:snapToGrid w:val="0"/>
              <w:spacing w:line="360" w:lineRule="exact"/>
              <w:rPr>
                <w:rFonts w:ascii="宋体" w:hAnsi="宋体" w:eastAsia="宋体"/>
                <w:sz w:val="24"/>
              </w:rPr>
            </w:pPr>
          </w:p>
          <w:p>
            <w:pPr>
              <w:snapToGrid w:val="0"/>
              <w:spacing w:line="360" w:lineRule="exac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5.3.1</w:t>
            </w:r>
            <w:r>
              <w:rPr>
                <w:rFonts w:hint="eastAsia" w:ascii="宋体" w:hAnsi="宋体" w:eastAsia="宋体"/>
                <w:sz w:val="24"/>
              </w:rPr>
              <w:t>公路运输公共客运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5.3.2</w:t>
            </w:r>
            <w:r>
              <w:rPr>
                <w:rFonts w:hint="eastAsia" w:ascii="宋体" w:hAnsi="宋体" w:eastAsia="宋体"/>
                <w:sz w:val="24"/>
              </w:rPr>
              <w:t>城市慢行交通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5.3.3</w:t>
            </w:r>
            <w:r>
              <w:rPr>
                <w:rFonts w:hint="eastAsia" w:ascii="宋体" w:hAnsi="宋体" w:eastAsia="宋体"/>
                <w:kern w:val="0"/>
                <w:sz w:val="24"/>
              </w:rPr>
              <w:t>智能交通体系建设和运营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5.3.4</w:t>
            </w:r>
            <w:r>
              <w:rPr>
                <w:rFonts w:hint="eastAsia" w:ascii="宋体" w:hAnsi="宋体" w:eastAsia="宋体"/>
                <w:sz w:val="24"/>
              </w:rPr>
              <w:t>新能源汽车配套设施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5.3.5</w:t>
            </w:r>
            <w:r>
              <w:rPr>
                <w:rFonts w:hint="eastAsia" w:ascii="宋体" w:hAnsi="宋体" w:eastAsia="宋体"/>
                <w:sz w:val="24"/>
              </w:rPr>
              <w:t>共享交通设施建设和运营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5.3.6</w:t>
            </w:r>
            <w:r>
              <w:rPr>
                <w:rFonts w:hint="eastAsia" w:ascii="宋体" w:hAnsi="宋体" w:eastAsia="宋体"/>
                <w:sz w:val="24"/>
              </w:rPr>
              <w:t>甩挂运输系统建设和运营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5.3.7</w:t>
            </w:r>
            <w:r>
              <w:rPr>
                <w:rFonts w:hint="eastAsia" w:ascii="宋体" w:hAnsi="宋体" w:eastAsia="宋体"/>
                <w:sz w:val="24"/>
              </w:rPr>
              <w:t>货物运输铁路建设运营和改造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5.3.8</w:t>
            </w:r>
            <w:r>
              <w:rPr>
                <w:rFonts w:hint="eastAsia" w:ascii="宋体" w:hAnsi="宋体" w:eastAsia="宋体"/>
                <w:kern w:val="0"/>
                <w:sz w:val="24"/>
              </w:rPr>
              <w:t>多式联运体系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kern w:val="0"/>
                <w:sz w:val="24"/>
              </w:rPr>
            </w:pPr>
            <w:r>
              <w:rPr>
                <w:rFonts w:ascii="宋体" w:hAnsi="宋体" w:eastAsia="宋体"/>
                <w:kern w:val="0"/>
                <w:sz w:val="24"/>
              </w:rPr>
              <w:t>5.3.9</w:t>
            </w:r>
            <w:r>
              <w:rPr>
                <w:rFonts w:hint="eastAsia" w:ascii="宋体" w:hAnsi="宋体" w:eastAsia="宋体"/>
                <w:kern w:val="0"/>
                <w:sz w:val="24"/>
              </w:rPr>
              <w:t>绿色水运基础设施建设和运营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sz w:val="24"/>
              </w:rPr>
              <w:t>5.4</w:t>
            </w:r>
            <w:r>
              <w:rPr>
                <w:rFonts w:hint="eastAsia" w:ascii="宋体" w:hAnsi="宋体" w:eastAsia="宋体"/>
                <w:sz w:val="24"/>
              </w:rPr>
              <w:t>绿色建筑</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 xml:space="preserve">5.4.1 </w:t>
            </w:r>
            <w:r>
              <w:rPr>
                <w:rFonts w:hint="eastAsia" w:ascii="宋体" w:hAnsi="宋体" w:eastAsia="宋体"/>
                <w:sz w:val="24"/>
              </w:rPr>
              <w:t>绿色建筑及超低能耗建筑建设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 xml:space="preserve">5.4.2 </w:t>
            </w:r>
            <w:r>
              <w:rPr>
                <w:rFonts w:hint="eastAsia" w:ascii="宋体" w:hAnsi="宋体" w:eastAsia="宋体"/>
                <w:sz w:val="24"/>
              </w:rPr>
              <w:t>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 xml:space="preserve">5.4.3 </w:t>
            </w:r>
            <w:r>
              <w:rPr>
                <w:rFonts w:hint="eastAsia" w:ascii="宋体" w:hAnsi="宋体" w:eastAsia="宋体"/>
                <w:sz w:val="24"/>
              </w:rPr>
              <w:t>物流绿色仓储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5.4.4</w:t>
            </w:r>
            <w:r>
              <w:rPr>
                <w:rFonts w:hint="eastAsia" w:ascii="宋体" w:hAnsi="宋体" w:eastAsia="宋体"/>
                <w:sz w:val="24"/>
              </w:rPr>
              <w:t>绿色建材生产与消费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restart"/>
            <w:vAlign w:val="center"/>
          </w:tcPr>
          <w:p>
            <w:pPr>
              <w:snapToGrid w:val="0"/>
              <w:spacing w:line="360" w:lineRule="exact"/>
              <w:rPr>
                <w:rFonts w:ascii="宋体" w:hAnsi="宋体" w:eastAsia="宋体"/>
                <w:spacing w:val="-10"/>
                <w:sz w:val="24"/>
              </w:rPr>
            </w:pPr>
            <w:r>
              <w:rPr>
                <w:rFonts w:ascii="宋体" w:hAnsi="宋体" w:eastAsia="宋体"/>
                <w:spacing w:val="-10"/>
                <w:kern w:val="0"/>
                <w:sz w:val="24"/>
              </w:rPr>
              <w:t>5.5</w:t>
            </w:r>
            <w:r>
              <w:rPr>
                <w:rFonts w:hint="eastAsia" w:ascii="宋体" w:hAnsi="宋体" w:eastAsia="宋体"/>
                <w:spacing w:val="-10"/>
                <w:kern w:val="0"/>
                <w:sz w:val="24"/>
              </w:rPr>
              <w:t>城乡应急防控</w:t>
            </w: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5.5.1</w:t>
            </w:r>
            <w:r>
              <w:rPr>
                <w:rFonts w:hint="eastAsia" w:ascii="宋体" w:hAnsi="宋体" w:eastAsia="宋体"/>
                <w:kern w:val="0"/>
                <w:sz w:val="24"/>
              </w:rPr>
              <w:t>气候风险和灾害预警系统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z w:val="24"/>
              </w:rPr>
            </w:pPr>
          </w:p>
        </w:tc>
        <w:tc>
          <w:tcPr>
            <w:tcW w:w="1973" w:type="dxa"/>
            <w:vMerge w:val="continue"/>
            <w:vAlign w:val="center"/>
          </w:tcPr>
          <w:p>
            <w:pPr>
              <w:widowControl/>
              <w:jc w:val="left"/>
              <w:rPr>
                <w:rFonts w:ascii="宋体" w:hAnsi="宋体" w:eastAsia="宋体"/>
                <w:spacing w:val="-10"/>
                <w:sz w:val="24"/>
              </w:rPr>
            </w:pPr>
          </w:p>
        </w:tc>
        <w:tc>
          <w:tcPr>
            <w:tcW w:w="5865" w:type="dxa"/>
            <w:vAlign w:val="center"/>
          </w:tcPr>
          <w:p>
            <w:pPr>
              <w:snapToGrid w:val="0"/>
              <w:spacing w:line="360" w:lineRule="exact"/>
              <w:rPr>
                <w:rFonts w:ascii="宋体" w:hAnsi="宋体" w:eastAsia="宋体"/>
                <w:sz w:val="24"/>
              </w:rPr>
            </w:pPr>
            <w:r>
              <w:rPr>
                <w:rFonts w:ascii="宋体" w:hAnsi="宋体" w:eastAsia="宋体"/>
                <w:kern w:val="0"/>
                <w:sz w:val="24"/>
              </w:rPr>
              <w:t>5.5.2</w:t>
            </w:r>
            <w:r>
              <w:rPr>
                <w:rFonts w:hint="eastAsia" w:ascii="宋体" w:hAnsi="宋体" w:eastAsia="宋体"/>
                <w:kern w:val="0"/>
                <w:sz w:val="24"/>
              </w:rPr>
              <w:t>重大基础设施灾害监测预警和应急系统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restart"/>
            <w:vAlign w:val="center"/>
          </w:tcPr>
          <w:p>
            <w:pPr>
              <w:snapToGrid w:val="0"/>
              <w:spacing w:line="360" w:lineRule="exact"/>
              <w:rPr>
                <w:rFonts w:ascii="宋体" w:hAnsi="宋体" w:eastAsia="宋体"/>
                <w:spacing w:val="-10"/>
                <w:sz w:val="24"/>
              </w:rPr>
            </w:pPr>
            <w:r>
              <w:rPr>
                <w:rFonts w:ascii="宋体" w:hAnsi="宋体" w:eastAsia="宋体"/>
                <w:b/>
                <w:bCs/>
                <w:spacing w:val="-10"/>
                <w:sz w:val="24"/>
              </w:rPr>
              <w:t>6.</w:t>
            </w:r>
            <w:r>
              <w:rPr>
                <w:rFonts w:hint="eastAsia" w:ascii="宋体" w:hAnsi="宋体" w:eastAsia="宋体"/>
                <w:b/>
                <w:bCs/>
                <w:spacing w:val="-10"/>
                <w:sz w:val="24"/>
              </w:rPr>
              <w:t>减污增效</w:t>
            </w:r>
          </w:p>
        </w:tc>
        <w:tc>
          <w:tcPr>
            <w:tcW w:w="1973" w:type="dxa"/>
            <w:vMerge w:val="restart"/>
            <w:vAlign w:val="center"/>
          </w:tcPr>
          <w:p>
            <w:pPr>
              <w:snapToGrid w:val="0"/>
              <w:spacing w:line="360" w:lineRule="exact"/>
              <w:rPr>
                <w:rFonts w:ascii="宋体" w:hAnsi="宋体" w:eastAsia="宋体"/>
                <w:spacing w:val="-10"/>
                <w:sz w:val="24"/>
              </w:rPr>
            </w:pPr>
            <w:r>
              <w:rPr>
                <w:rFonts w:ascii="宋体" w:hAnsi="宋体" w:eastAsia="宋体"/>
                <w:spacing w:val="-10"/>
                <w:sz w:val="24"/>
              </w:rPr>
              <w:t>6.1</w:t>
            </w:r>
            <w:r>
              <w:rPr>
                <w:rFonts w:hint="eastAsia" w:ascii="宋体" w:hAnsi="宋体" w:eastAsia="宋体"/>
                <w:spacing w:val="-10"/>
                <w:sz w:val="24"/>
              </w:rPr>
              <w:t>城乡污染防治</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6.1.1</w:t>
            </w:r>
            <w:r>
              <w:rPr>
                <w:rFonts w:hint="eastAsia" w:ascii="宋体" w:hAnsi="宋体" w:eastAsia="宋体"/>
                <w:sz w:val="24"/>
              </w:rPr>
              <w:t>污水处理、再生利用及污泥处理处置设施建设运营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pacing w:val="-10"/>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6.1.2</w:t>
            </w:r>
            <w:r>
              <w:rPr>
                <w:rFonts w:hint="eastAsia" w:ascii="宋体" w:hAnsi="宋体" w:eastAsia="宋体"/>
                <w:sz w:val="24"/>
              </w:rPr>
              <w:t>生活垃圾处理设施建设和运营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pacing w:val="-10"/>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6.1.3</w:t>
            </w:r>
            <w:r>
              <w:rPr>
                <w:rFonts w:hint="eastAsia" w:ascii="宋体" w:hAnsi="宋体" w:eastAsia="宋体"/>
                <w:sz w:val="24"/>
              </w:rPr>
              <w:t>农林（竹）业面源污染防治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sz w:val="24"/>
              </w:rPr>
              <w:t>6.2</w:t>
            </w:r>
            <w:r>
              <w:rPr>
                <w:rFonts w:hint="eastAsia" w:ascii="宋体" w:hAnsi="宋体" w:eastAsia="宋体"/>
                <w:sz w:val="24"/>
              </w:rPr>
              <w:t>生产过程污染防治</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6.2</w:t>
            </w:r>
            <w:r>
              <w:rPr>
                <w:rFonts w:ascii="宋体" w:hAnsi="宋体" w:eastAsia="宋体"/>
                <w:kern w:val="0"/>
                <w:sz w:val="24"/>
              </w:rPr>
              <w:t>.1</w:t>
            </w:r>
            <w:r>
              <w:rPr>
                <w:rFonts w:hint="eastAsia" w:ascii="宋体" w:hAnsi="宋体" w:eastAsia="宋体"/>
                <w:kern w:val="0"/>
                <w:sz w:val="24"/>
              </w:rPr>
              <w:t>工业大气污染防治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6.2.</w:t>
            </w:r>
            <w:r>
              <w:rPr>
                <w:rFonts w:ascii="宋体" w:hAnsi="宋体" w:eastAsia="宋体"/>
                <w:kern w:val="0"/>
                <w:sz w:val="24"/>
              </w:rPr>
              <w:t>2</w:t>
            </w:r>
            <w:r>
              <w:rPr>
                <w:rFonts w:hint="eastAsia" w:ascii="宋体" w:hAnsi="宋体" w:eastAsia="宋体"/>
                <w:kern w:val="0"/>
                <w:sz w:val="24"/>
              </w:rPr>
              <w:t>工业污水处理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6.2</w:t>
            </w:r>
            <w:r>
              <w:rPr>
                <w:rFonts w:ascii="宋体" w:hAnsi="宋体" w:eastAsia="宋体"/>
                <w:kern w:val="0"/>
                <w:sz w:val="24"/>
              </w:rPr>
              <w:t>.3</w:t>
            </w:r>
            <w:r>
              <w:rPr>
                <w:rFonts w:hint="eastAsia" w:ascii="宋体" w:hAnsi="宋体" w:eastAsia="宋体"/>
                <w:kern w:val="0"/>
                <w:sz w:val="24"/>
              </w:rPr>
              <w:t>危废处理处置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6.2.4</w:t>
            </w:r>
            <w:r>
              <w:rPr>
                <w:rFonts w:hint="eastAsia" w:ascii="宋体" w:hAnsi="宋体" w:eastAsia="宋体"/>
                <w:sz w:val="24"/>
              </w:rPr>
              <w:t>燃煤替代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6.2</w:t>
            </w:r>
            <w:r>
              <w:rPr>
                <w:rFonts w:ascii="宋体" w:hAnsi="宋体" w:eastAsia="宋体"/>
                <w:kern w:val="0"/>
                <w:sz w:val="24"/>
              </w:rPr>
              <w:t>.5</w:t>
            </w:r>
            <w:r>
              <w:rPr>
                <w:rFonts w:hint="eastAsia" w:ascii="宋体" w:hAnsi="宋体" w:eastAsia="宋体"/>
                <w:kern w:val="0"/>
                <w:sz w:val="24"/>
              </w:rPr>
              <w:t>无毒无害原料生产与替代使用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60" w:lineRule="exact"/>
              <w:rPr>
                <w:rFonts w:ascii="宋体" w:hAnsi="宋体" w:eastAsia="宋体"/>
                <w:spacing w:val="-10"/>
                <w:sz w:val="24"/>
              </w:rPr>
            </w:pPr>
            <w:r>
              <w:rPr>
                <w:rFonts w:ascii="宋体" w:hAnsi="宋体" w:eastAsia="宋体"/>
                <w:spacing w:val="-10"/>
                <w:sz w:val="24"/>
              </w:rPr>
              <w:t>6.3</w:t>
            </w:r>
            <w:r>
              <w:rPr>
                <w:rFonts w:hint="eastAsia" w:ascii="宋体" w:hAnsi="宋体" w:eastAsia="宋体"/>
                <w:spacing w:val="-10"/>
                <w:sz w:val="24"/>
              </w:rPr>
              <w:t>园区污染防治</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6.3.1</w:t>
            </w:r>
            <w:r>
              <w:rPr>
                <w:rFonts w:hint="eastAsia" w:ascii="宋体" w:hAnsi="宋体" w:eastAsia="宋体"/>
                <w:sz w:val="24"/>
              </w:rPr>
              <w:t>园区污染治理集中化改造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pacing w:val="-10"/>
                <w:sz w:val="24"/>
              </w:rPr>
            </w:pPr>
          </w:p>
        </w:tc>
        <w:tc>
          <w:tcPr>
            <w:tcW w:w="5865" w:type="dxa"/>
            <w:vAlign w:val="center"/>
          </w:tcPr>
          <w:p>
            <w:pPr>
              <w:snapToGrid w:val="0"/>
              <w:spacing w:line="360" w:lineRule="exact"/>
              <w:rPr>
                <w:rFonts w:ascii="宋体" w:hAnsi="宋体" w:eastAsia="宋体"/>
                <w:b/>
                <w:bCs/>
                <w:sz w:val="24"/>
              </w:rPr>
            </w:pPr>
            <w:r>
              <w:rPr>
                <w:rFonts w:ascii="宋体" w:hAnsi="宋体" w:eastAsia="宋体"/>
                <w:sz w:val="24"/>
              </w:rPr>
              <w:t>6.3.2</w:t>
            </w:r>
            <w:r>
              <w:rPr>
                <w:rFonts w:hint="eastAsia" w:ascii="宋体" w:hAnsi="宋体" w:eastAsia="宋体"/>
                <w:sz w:val="24"/>
              </w:rPr>
              <w:t>园区重点行业清洁生产改造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restart"/>
            <w:vAlign w:val="center"/>
          </w:tcPr>
          <w:p>
            <w:pPr>
              <w:snapToGrid w:val="0"/>
              <w:spacing w:line="360" w:lineRule="exact"/>
              <w:rPr>
                <w:rFonts w:ascii="宋体" w:hAnsi="宋体" w:eastAsia="宋体"/>
                <w:sz w:val="24"/>
              </w:rPr>
            </w:pPr>
            <w:r>
              <w:rPr>
                <w:rFonts w:ascii="宋体" w:hAnsi="宋体" w:eastAsia="宋体"/>
                <w:sz w:val="24"/>
              </w:rPr>
              <w:t>6.4</w:t>
            </w:r>
            <w:r>
              <w:rPr>
                <w:rFonts w:hint="eastAsia" w:ascii="宋体" w:hAnsi="宋体" w:eastAsia="宋体"/>
                <w:sz w:val="24"/>
              </w:rPr>
              <w:t>环境修复</w:t>
            </w:r>
          </w:p>
        </w:tc>
        <w:tc>
          <w:tcPr>
            <w:tcW w:w="5865" w:type="dxa"/>
            <w:vAlign w:val="center"/>
          </w:tcPr>
          <w:p>
            <w:pPr>
              <w:snapToGrid w:val="0"/>
              <w:spacing w:line="360" w:lineRule="exact"/>
              <w:rPr>
                <w:rFonts w:ascii="宋体" w:hAnsi="宋体" w:eastAsia="宋体"/>
                <w:sz w:val="24"/>
              </w:rPr>
            </w:pPr>
            <w:r>
              <w:rPr>
                <w:rFonts w:ascii="宋体" w:hAnsi="宋体" w:eastAsia="宋体"/>
                <w:sz w:val="24"/>
              </w:rPr>
              <w:t>6.4.1</w:t>
            </w:r>
            <w:r>
              <w:rPr>
                <w:rFonts w:hint="eastAsia" w:ascii="宋体" w:hAnsi="宋体" w:eastAsia="宋体"/>
                <w:sz w:val="24"/>
              </w:rPr>
              <w:t>矿山生态环境恢复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6.4.2</w:t>
            </w:r>
            <w:r>
              <w:rPr>
                <w:rFonts w:hint="eastAsia" w:ascii="宋体" w:hAnsi="宋体" w:eastAsia="宋体"/>
                <w:sz w:val="24"/>
              </w:rPr>
              <w:t>水体生态修复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1406" w:type="dxa"/>
            <w:vMerge w:val="continue"/>
            <w:vAlign w:val="center"/>
          </w:tcPr>
          <w:p>
            <w:pPr>
              <w:widowControl/>
              <w:jc w:val="left"/>
              <w:rPr>
                <w:rFonts w:ascii="宋体" w:hAnsi="宋体" w:eastAsia="宋体"/>
                <w:spacing w:val="-10"/>
                <w:sz w:val="24"/>
              </w:rPr>
            </w:pPr>
          </w:p>
        </w:tc>
        <w:tc>
          <w:tcPr>
            <w:tcW w:w="1973" w:type="dxa"/>
            <w:vMerge w:val="continue"/>
            <w:vAlign w:val="center"/>
          </w:tcPr>
          <w:p>
            <w:pPr>
              <w:widowControl/>
              <w:jc w:val="left"/>
              <w:rPr>
                <w:rFonts w:ascii="宋体" w:hAnsi="宋体" w:eastAsia="宋体"/>
                <w:sz w:val="24"/>
              </w:rPr>
            </w:pPr>
          </w:p>
        </w:tc>
        <w:tc>
          <w:tcPr>
            <w:tcW w:w="5865" w:type="dxa"/>
            <w:vAlign w:val="center"/>
          </w:tcPr>
          <w:p>
            <w:pPr>
              <w:snapToGrid w:val="0"/>
              <w:spacing w:line="360" w:lineRule="exact"/>
              <w:rPr>
                <w:rFonts w:ascii="宋体" w:hAnsi="宋体" w:eastAsia="宋体"/>
                <w:sz w:val="24"/>
              </w:rPr>
            </w:pPr>
            <w:r>
              <w:rPr>
                <w:rFonts w:ascii="宋体" w:hAnsi="宋体" w:eastAsia="宋体"/>
                <w:sz w:val="24"/>
              </w:rPr>
              <w:t>6.4.3</w:t>
            </w:r>
            <w:r>
              <w:rPr>
                <w:rFonts w:hint="eastAsia" w:ascii="宋体" w:hAnsi="宋体" w:eastAsia="宋体"/>
                <w:sz w:val="24"/>
              </w:rPr>
              <w:t>土壤修复</w:t>
            </w:r>
          </w:p>
        </w:tc>
      </w:tr>
    </w:tbl>
    <w:p>
      <w:pPr>
        <w:rPr>
          <w:rFonts w:ascii="宋体" w:hAnsi="宋体" w:eastAsia="宋体"/>
          <w:color w:val="0C0C0C"/>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F05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2">
    <w:name w:val="heading 1"/>
    <w:basedOn w:val="1"/>
    <w:next w:val="1"/>
    <w:qFormat/>
    <w:uiPriority w:val="0"/>
    <w:pPr>
      <w:keepNext/>
      <w:keepLines/>
      <w:adjustRightInd w:val="0"/>
      <w:snapToGrid w:val="0"/>
      <w:spacing w:beforeLines="30" w:line="360" w:lineRule="auto"/>
      <w:outlineLvl w:val="0"/>
    </w:pPr>
    <w:rPr>
      <w:rFonts w:eastAsia="宋体" w:cs="黑体"/>
      <w:b/>
      <w:bCs/>
      <w:kern w:val="44"/>
      <w:sz w:val="32"/>
      <w:szCs w:val="44"/>
    </w:rPr>
  </w:style>
  <w:style w:type="paragraph" w:styleId="3">
    <w:name w:val="heading 2"/>
    <w:basedOn w:val="1"/>
    <w:next w:val="1"/>
    <w:unhideWhenUsed/>
    <w:qFormat/>
    <w:uiPriority w:val="0"/>
    <w:pPr>
      <w:keepNext/>
      <w:keepLines/>
      <w:spacing w:line="360" w:lineRule="auto"/>
      <w:jc w:val="left"/>
      <w:outlineLvl w:val="1"/>
    </w:pPr>
    <w:rPr>
      <w:rFonts w:eastAsia="楷体" w:cs="黑体"/>
      <w:b/>
      <w:bCs/>
      <w:sz w:val="30"/>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toc 2"/>
    <w:basedOn w:val="1"/>
    <w:next w:val="1"/>
    <w:uiPriority w:val="0"/>
    <w:pPr>
      <w:spacing w:line="360" w:lineRule="auto"/>
      <w:ind w:left="200" w:leftChars="200" w:firstLine="200" w:firstLineChars="200"/>
    </w:pPr>
    <w:rPr>
      <w:rFonts w:eastAsia="宋体" w:cs="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2021-08-25T07:14:59Z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