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line="600" w:lineRule="exact"/>
        <w:ind w:left="0" w:leftChars="0" w:firstLine="0" w:firstLineChars="0"/>
      </w:pPr>
    </w:p>
    <w:p>
      <w:pPr>
        <w:pStyle w:val="4"/>
        <w:spacing w:line="1200" w:lineRule="exact"/>
      </w:pPr>
    </w:p>
    <w:p>
      <w:pPr>
        <w:pStyle w:val="5"/>
        <w:spacing w:before="0" w:after="0" w:line="1200" w:lineRule="exact"/>
        <w:rPr>
          <w:sz w:val="72"/>
          <w:szCs w:val="72"/>
        </w:rPr>
      </w:pPr>
      <w:bookmarkStart w:id="0" w:name="_Toc28297"/>
      <w:bookmarkStart w:id="1" w:name="_Toc27958"/>
      <w:bookmarkStart w:id="2" w:name="_Toc3528"/>
      <w:bookmarkStart w:id="3" w:name="_Toc8795"/>
      <w:bookmarkStart w:id="4" w:name="_Toc14977"/>
      <w:bookmarkStart w:id="5" w:name="_Toc21307"/>
      <w:bookmarkStart w:id="6" w:name="_Toc27705"/>
      <w:bookmarkStart w:id="7" w:name="_Toc5212"/>
      <w:bookmarkStart w:id="8" w:name="_Toc30497"/>
      <w:bookmarkStart w:id="9" w:name="_Toc1865261660"/>
      <w:bookmarkStart w:id="10" w:name="_Toc13995"/>
      <w:bookmarkStart w:id="11" w:name="_Toc1926291115"/>
      <w:bookmarkStart w:id="12" w:name="_Toc5616"/>
      <w:r>
        <w:rPr>
          <w:rFonts w:hint="eastAsia"/>
          <w:sz w:val="72"/>
          <w:szCs w:val="72"/>
        </w:rPr>
        <w:t>福建省“专精特新”</w:t>
      </w:r>
      <w:bookmarkEnd w:id="0"/>
      <w:r>
        <w:rPr>
          <w:rFonts w:hint="eastAsia"/>
          <w:sz w:val="72"/>
          <w:szCs w:val="72"/>
        </w:rPr>
        <w:t>企业</w:t>
      </w:r>
      <w:bookmarkEnd w:id="1"/>
      <w:bookmarkEnd w:id="2"/>
      <w:bookmarkEnd w:id="3"/>
      <w:bookmarkEnd w:id="4"/>
      <w:bookmarkEnd w:id="5"/>
      <w:bookmarkEnd w:id="6"/>
      <w:bookmarkEnd w:id="7"/>
      <w:bookmarkEnd w:id="8"/>
      <w:bookmarkEnd w:id="9"/>
      <w:bookmarkEnd w:id="10"/>
      <w:bookmarkEnd w:id="11"/>
      <w:bookmarkStart w:id="13" w:name="_Toc24651"/>
    </w:p>
    <w:p>
      <w:pPr>
        <w:pStyle w:val="5"/>
        <w:spacing w:before="0" w:after="0" w:line="1200" w:lineRule="exact"/>
        <w:rPr>
          <w:sz w:val="72"/>
          <w:szCs w:val="72"/>
        </w:rPr>
      </w:pPr>
      <w:bookmarkStart w:id="14" w:name="_Toc12855"/>
      <w:bookmarkStart w:id="15" w:name="_Toc26538"/>
      <w:bookmarkStart w:id="16" w:name="_Toc24036"/>
      <w:bookmarkStart w:id="17" w:name="_Toc16121"/>
      <w:bookmarkStart w:id="18" w:name="_Toc25565"/>
      <w:bookmarkStart w:id="19" w:name="_Toc4191"/>
      <w:bookmarkStart w:id="20" w:name="_Toc23322"/>
      <w:bookmarkStart w:id="21" w:name="_Toc7898"/>
      <w:bookmarkStart w:id="22" w:name="_Toc1297920783"/>
      <w:bookmarkStart w:id="23" w:name="_Toc635903432"/>
      <w:bookmarkStart w:id="24" w:name="_Toc23010"/>
      <w:r>
        <w:rPr>
          <w:rFonts w:hint="eastAsia"/>
          <w:sz w:val="72"/>
          <w:szCs w:val="72"/>
        </w:rPr>
        <w:t>专属金融产</w:t>
      </w:r>
      <w:bookmarkStart w:id="317" w:name="_GoBack"/>
      <w:bookmarkEnd w:id="317"/>
      <w:r>
        <w:rPr>
          <w:rFonts w:hint="eastAsia"/>
          <w:sz w:val="72"/>
          <w:szCs w:val="72"/>
        </w:rPr>
        <w:t>品汇编</w:t>
      </w:r>
      <w:bookmarkEnd w:id="12"/>
      <w:bookmarkEnd w:id="13"/>
      <w:bookmarkEnd w:id="14"/>
      <w:bookmarkEnd w:id="15"/>
      <w:bookmarkEnd w:id="16"/>
      <w:bookmarkEnd w:id="17"/>
      <w:bookmarkEnd w:id="18"/>
      <w:bookmarkEnd w:id="19"/>
      <w:bookmarkEnd w:id="20"/>
      <w:bookmarkEnd w:id="21"/>
      <w:bookmarkEnd w:id="22"/>
      <w:bookmarkEnd w:id="23"/>
      <w:bookmarkEnd w:id="24"/>
    </w:p>
    <w:p>
      <w:pPr>
        <w:pStyle w:val="5"/>
        <w:spacing w:before="0" w:after="0" w:line="1200" w:lineRule="exact"/>
        <w:rPr>
          <w:sz w:val="84"/>
          <w:szCs w:val="84"/>
        </w:rPr>
      </w:pPr>
    </w:p>
    <w:p>
      <w:pPr>
        <w:pStyle w:val="2"/>
        <w:spacing w:before="0" w:beforeAutospacing="0" w:after="0" w:line="1200" w:lineRule="exact"/>
        <w:ind w:left="0" w:leftChars="0" w:firstLine="0" w:firstLineChars="0"/>
      </w:pPr>
    </w:p>
    <w:p>
      <w:pPr>
        <w:pStyle w:val="5"/>
        <w:spacing w:before="0" w:after="0" w:line="1200" w:lineRule="exact"/>
      </w:pPr>
    </w:p>
    <w:p>
      <w:pPr>
        <w:pStyle w:val="4"/>
        <w:spacing w:line="600" w:lineRule="exact"/>
      </w:pPr>
    </w:p>
    <w:p>
      <w:pPr>
        <w:pStyle w:val="4"/>
        <w:spacing w:line="600" w:lineRule="exact"/>
      </w:pPr>
    </w:p>
    <w:p>
      <w:pPr>
        <w:pStyle w:val="4"/>
        <w:spacing w:line="600" w:lineRule="exact"/>
      </w:pPr>
    </w:p>
    <w:p>
      <w:pPr>
        <w:pStyle w:val="4"/>
        <w:spacing w:line="600" w:lineRule="exact"/>
      </w:pPr>
    </w:p>
    <w:p>
      <w:pPr>
        <w:pStyle w:val="4"/>
        <w:spacing w:line="600" w:lineRule="exact"/>
        <w:rPr>
          <w:rFonts w:ascii="黑体" w:hAnsi="黑体" w:eastAsia="黑体" w:cs="黑体"/>
          <w:sz w:val="36"/>
          <w:szCs w:val="36"/>
        </w:rPr>
      </w:pPr>
    </w:p>
    <w:p>
      <w:pPr>
        <w:spacing w:line="600" w:lineRule="exact"/>
        <w:jc w:val="center"/>
        <w:outlineLvl w:val="0"/>
        <w:rPr>
          <w:rFonts w:ascii="楷体_GB2312" w:hAnsi="楷体_GB2312" w:eastAsia="楷体_GB2312" w:cs="楷体_GB2312"/>
          <w:b/>
          <w:bCs/>
          <w:szCs w:val="32"/>
        </w:rPr>
      </w:pPr>
      <w:bookmarkStart w:id="25" w:name="_Toc1086218935"/>
      <w:bookmarkStart w:id="26" w:name="_Toc9850"/>
      <w:bookmarkStart w:id="27" w:name="_Toc583"/>
      <w:bookmarkStart w:id="28" w:name="_Toc2786"/>
      <w:bookmarkStart w:id="29" w:name="_Toc26666"/>
      <w:bookmarkStart w:id="30" w:name="_Toc4424"/>
      <w:bookmarkStart w:id="31" w:name="_Toc1109"/>
      <w:bookmarkStart w:id="32" w:name="_Toc21976"/>
      <w:bookmarkStart w:id="33" w:name="_Toc2120937291"/>
      <w:r>
        <w:rPr>
          <w:rFonts w:hint="eastAsia" w:ascii="楷体_GB2312" w:hAnsi="楷体_GB2312" w:eastAsia="楷体_GB2312" w:cs="楷体_GB2312"/>
          <w:b/>
          <w:bCs/>
          <w:szCs w:val="32"/>
        </w:rPr>
        <w:t>福建省地方金融监督管理局</w:t>
      </w:r>
      <w:bookmarkEnd w:id="25"/>
      <w:bookmarkEnd w:id="26"/>
      <w:bookmarkEnd w:id="27"/>
      <w:bookmarkEnd w:id="28"/>
      <w:bookmarkEnd w:id="29"/>
      <w:bookmarkEnd w:id="30"/>
      <w:bookmarkEnd w:id="31"/>
      <w:bookmarkEnd w:id="32"/>
      <w:bookmarkEnd w:id="33"/>
    </w:p>
    <w:p>
      <w:pPr>
        <w:spacing w:line="600" w:lineRule="exact"/>
        <w:jc w:val="center"/>
      </w:pPr>
      <w:r>
        <w:rPr>
          <w:rFonts w:hint="eastAsia" w:ascii="楷体_GB2312" w:hAnsi="楷体_GB2312" w:eastAsia="楷体_GB2312" w:cs="楷体_GB2312"/>
          <w:b/>
          <w:bCs/>
          <w:szCs w:val="32"/>
        </w:rPr>
        <w:t>2023年8月</w:t>
      </w:r>
    </w:p>
    <w:sdt>
      <w:sdtPr>
        <w:rPr>
          <w:rFonts w:ascii="宋体" w:hAnsi="宋体" w:eastAsia="宋体"/>
          <w:sz w:val="21"/>
        </w:rPr>
        <w:id w:val="147477338"/>
        <w15:color w:val="DBDBDB"/>
      </w:sdtPr>
      <w:sdtEndPr>
        <w:rPr>
          <w:rFonts w:ascii="宋体" w:hAnsi="宋体" w:eastAsia="宋体"/>
          <w:sz w:val="21"/>
        </w:rPr>
      </w:sdtEndPr>
      <w:sdtContent>
        <w:p>
          <w:pPr>
            <w:jc w:val="center"/>
            <w:rPr>
              <w:rFonts w:ascii="宋体" w:hAnsi="宋体" w:eastAsia="宋体"/>
              <w:sz w:val="21"/>
            </w:rPr>
          </w:pPr>
          <w:bookmarkStart w:id="34" w:name="_Toc12598"/>
        </w:p>
        <w:p>
          <w:pPr>
            <w:jc w:val="center"/>
            <w:rPr>
              <w:rFonts w:ascii="宋体" w:hAnsi="宋体" w:eastAsia="宋体"/>
              <w:sz w:val="21"/>
            </w:rPr>
          </w:pPr>
        </w:p>
        <w:p>
          <w:pPr>
            <w:jc w:val="center"/>
            <w:rPr>
              <w:rFonts w:ascii="黑体" w:hAnsi="黑体" w:eastAsia="黑体" w:cs="黑体"/>
              <w:sz w:val="44"/>
              <w:szCs w:val="44"/>
            </w:rPr>
            <w:sectPr>
              <w:pgSz w:w="11906" w:h="16838"/>
              <w:pgMar w:top="2098" w:right="1474" w:bottom="1984" w:left="1587" w:header="851" w:footer="992" w:gutter="0"/>
              <w:pgNumType w:start="0"/>
              <w:cols w:space="720" w:num="1"/>
              <w:docGrid w:type="lines" w:linePitch="312" w:charSpace="0"/>
            </w:sectPr>
          </w:pPr>
        </w:p>
        <w:p>
          <w:pPr>
            <w:jc w:val="center"/>
            <w:rPr>
              <w:rFonts w:ascii="Calibri" w:hAnsi="Calibri" w:eastAsia="华文仿宋" w:cs="Times New Roman"/>
              <w:kern w:val="2"/>
              <w:sz w:val="32"/>
              <w:szCs w:val="24"/>
              <w:lang w:val="en-US" w:eastAsia="zh-CN" w:bidi="ar-SA"/>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r>
            <w:fldChar w:fldCharType="begin"/>
          </w:r>
          <w:r>
            <w:instrText xml:space="preserve">TOC \o "1-1" \h \u </w:instrText>
          </w:r>
          <w:r>
            <w:fldChar w:fldCharType="separate"/>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_Toc581915814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一、兴业银行“专精特新”企业专属金融产品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_Toc581915814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_Toc1037926693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二、福建农信“专精特新”企业专属金融产品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_Toc1037926693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5</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_Toc18967602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三、福建海峡银行专精特新直通车</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_Toc18967602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6</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_Toc10801452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四、泉州银行“专精特新”企业专属金融产品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_Toc10801452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7</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_Toc1603744200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五、厦门银行“专精特新”企业专属金融产品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_Toc1603744200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8</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_Toc1015200608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六</w:t>
          </w:r>
          <w:r>
            <w:rPr>
              <w:rFonts w:hint="eastAsia" w:ascii="仿宋_GB2312" w:hAnsi="仿宋_GB2312" w:eastAsia="仿宋_GB2312" w:cs="仿宋_GB2312"/>
              <w:b w:val="0"/>
              <w:bCs w:val="0"/>
              <w:szCs w:val="36"/>
            </w:rPr>
            <w:t>、厦门国际银行“专精特新”企业专属金融产品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_Toc1015200608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9</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_Toc2070026302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七</w:t>
          </w:r>
          <w:r>
            <w:rPr>
              <w:rFonts w:hint="eastAsia" w:ascii="仿宋_GB2312" w:hAnsi="仿宋_GB2312" w:eastAsia="仿宋_GB2312" w:cs="仿宋_GB2312"/>
              <w:b w:val="0"/>
              <w:bCs w:val="0"/>
              <w:szCs w:val="36"/>
            </w:rPr>
            <w:t>、工商银行“专精特新”企业专属金融产品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_Toc2070026302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10</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_Toc453088054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八</w:t>
          </w:r>
          <w:r>
            <w:rPr>
              <w:rFonts w:hint="eastAsia" w:ascii="仿宋_GB2312" w:hAnsi="仿宋_GB2312" w:eastAsia="仿宋_GB2312" w:cs="仿宋_GB2312"/>
              <w:b w:val="0"/>
              <w:bCs w:val="0"/>
              <w:szCs w:val="36"/>
            </w:rPr>
            <w:t>、农业银行“专精特新”企业专属金融产品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_Toc453088054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11</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_Toc311737761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九</w:t>
          </w:r>
          <w:r>
            <w:rPr>
              <w:rFonts w:hint="eastAsia" w:ascii="仿宋_GB2312" w:hAnsi="仿宋_GB2312" w:eastAsia="仿宋_GB2312" w:cs="仿宋_GB2312"/>
              <w:b w:val="0"/>
              <w:bCs w:val="0"/>
              <w:szCs w:val="36"/>
            </w:rPr>
            <w:t>、中国银行“专精特新”企业专属金融产品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_Toc311737761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12</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_Toc266107737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十</w:t>
          </w:r>
          <w:r>
            <w:rPr>
              <w:rFonts w:hint="eastAsia" w:ascii="仿宋_GB2312" w:hAnsi="仿宋_GB2312" w:eastAsia="仿宋_GB2312" w:cs="仿宋_GB2312"/>
              <w:b w:val="0"/>
              <w:bCs w:val="0"/>
              <w:szCs w:val="36"/>
            </w:rPr>
            <w:t>、建设银行“专精特新”企业专属金融产品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_Toc266107737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14</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_Toc1594125112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一</w:t>
          </w:r>
          <w:r>
            <w:rPr>
              <w:rFonts w:hint="eastAsia" w:ascii="仿宋_GB2312" w:hAnsi="仿宋_GB2312" w:eastAsia="仿宋_GB2312" w:cs="仿宋_GB2312"/>
              <w:b w:val="0"/>
              <w:bCs w:val="0"/>
              <w:szCs w:val="36"/>
            </w:rPr>
            <w:t>、交通银行“专精特新”企业专属金融产品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_Toc1594125112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16</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_Toc247106555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二</w:t>
          </w:r>
          <w:r>
            <w:rPr>
              <w:rFonts w:hint="eastAsia" w:ascii="仿宋_GB2312" w:hAnsi="仿宋_GB2312" w:eastAsia="仿宋_GB2312" w:cs="仿宋_GB2312"/>
              <w:b w:val="0"/>
              <w:bCs w:val="0"/>
              <w:szCs w:val="36"/>
            </w:rPr>
            <w:t>、邮储银行“专精特新”企业专属金融产品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_Toc247106555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17</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_Toc1332018534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三</w:t>
          </w:r>
          <w:r>
            <w:rPr>
              <w:rFonts w:hint="eastAsia" w:ascii="仿宋_GB2312" w:hAnsi="仿宋_GB2312" w:eastAsia="仿宋_GB2312" w:cs="仿宋_GB2312"/>
              <w:b w:val="0"/>
              <w:bCs w:val="0"/>
              <w:szCs w:val="36"/>
            </w:rPr>
            <w:t>、中信银行“专精特新”企业专属金融产品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_Toc1332018534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19</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_Toc1057827926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四</w:t>
          </w:r>
          <w:r>
            <w:rPr>
              <w:rFonts w:hint="eastAsia" w:ascii="仿宋_GB2312" w:hAnsi="仿宋_GB2312" w:eastAsia="仿宋_GB2312" w:cs="仿宋_GB2312"/>
              <w:b w:val="0"/>
              <w:bCs w:val="0"/>
              <w:szCs w:val="36"/>
            </w:rPr>
            <w:t>、光大银行“专精特新”企业专属金融产品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_Toc1057827926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20</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_Toc1583463768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五</w:t>
          </w:r>
          <w:r>
            <w:rPr>
              <w:rFonts w:hint="eastAsia" w:ascii="仿宋_GB2312" w:hAnsi="仿宋_GB2312" w:eastAsia="仿宋_GB2312" w:cs="仿宋_GB2312"/>
              <w:b w:val="0"/>
              <w:bCs w:val="0"/>
              <w:szCs w:val="36"/>
            </w:rPr>
            <w:t>、招商银行“专精特新”企业专属金融产品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_Toc1583463768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22</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_Toc612283700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highlight w:val="none"/>
              <w:lang w:eastAsia="zh-CN"/>
            </w:rPr>
            <w:t>十六、</w:t>
          </w:r>
          <w:r>
            <w:rPr>
              <w:rFonts w:hint="eastAsia" w:ascii="仿宋_GB2312" w:hAnsi="仿宋_GB2312" w:eastAsia="仿宋_GB2312" w:cs="仿宋_GB2312"/>
              <w:b w:val="0"/>
              <w:bCs w:val="0"/>
              <w:szCs w:val="36"/>
              <w:highlight w:val="none"/>
            </w:rPr>
            <w:t>民生银行</w:t>
          </w:r>
          <w:r>
            <w:rPr>
              <w:rFonts w:hint="eastAsia" w:ascii="仿宋_GB2312" w:hAnsi="仿宋_GB2312" w:eastAsia="仿宋_GB2312" w:cs="仿宋_GB2312"/>
              <w:b w:val="0"/>
              <w:bCs w:val="0"/>
              <w:szCs w:val="36"/>
              <w:highlight w:val="none"/>
              <w:lang w:val="en-US" w:eastAsia="zh-CN"/>
            </w:rPr>
            <w:t>“专精特新”企业</w:t>
          </w:r>
          <w:r>
            <w:rPr>
              <w:rFonts w:hint="eastAsia" w:ascii="仿宋_GB2312" w:hAnsi="仿宋_GB2312" w:eastAsia="仿宋_GB2312" w:cs="仿宋_GB2312"/>
              <w:b w:val="0"/>
              <w:bCs w:val="0"/>
              <w:szCs w:val="36"/>
              <w:highlight w:val="none"/>
            </w:rPr>
            <w:t>金融服务产品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_Toc612283700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24</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_Toc1175261685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七</w:t>
          </w:r>
          <w:r>
            <w:rPr>
              <w:rFonts w:hint="eastAsia" w:ascii="仿宋_GB2312" w:hAnsi="仿宋_GB2312" w:eastAsia="仿宋_GB2312" w:cs="仿宋_GB2312"/>
              <w:b w:val="0"/>
              <w:bCs w:val="0"/>
              <w:szCs w:val="36"/>
            </w:rPr>
            <w:t>、华夏银行“专精特新”企业专属金融产品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_Toc1175261685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27</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_Toc591265665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八</w:t>
          </w:r>
          <w:r>
            <w:rPr>
              <w:rFonts w:hint="eastAsia" w:ascii="仿宋_GB2312" w:hAnsi="仿宋_GB2312" w:eastAsia="仿宋_GB2312" w:cs="仿宋_GB2312"/>
              <w:b w:val="0"/>
              <w:bCs w:val="0"/>
              <w:szCs w:val="36"/>
            </w:rPr>
            <w:t>、广发银行“专精特新”企业专属金融产品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_Toc591265665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28</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_Toc2071178744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rPr>
            <w:t>十</w:t>
          </w:r>
          <w:r>
            <w:rPr>
              <w:rFonts w:hint="eastAsia" w:ascii="仿宋_GB2312" w:hAnsi="仿宋_GB2312" w:eastAsia="仿宋_GB2312" w:cs="仿宋_GB2312"/>
              <w:b w:val="0"/>
              <w:bCs w:val="0"/>
              <w:szCs w:val="36"/>
              <w:lang w:val="en-US" w:eastAsia="zh-CN"/>
            </w:rPr>
            <w:t>九</w:t>
          </w:r>
          <w:r>
            <w:rPr>
              <w:rFonts w:hint="eastAsia" w:ascii="仿宋_GB2312" w:hAnsi="仿宋_GB2312" w:eastAsia="仿宋_GB2312" w:cs="仿宋_GB2312"/>
              <w:b w:val="0"/>
              <w:bCs w:val="0"/>
              <w:szCs w:val="36"/>
            </w:rPr>
            <w:t>、平安银行“专精特新”企业专属金融产品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_Toc2071178744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29</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_Toc235432857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eastAsia="zh-CN"/>
            </w:rPr>
            <w:t>二十</w:t>
          </w:r>
          <w:r>
            <w:rPr>
              <w:rFonts w:hint="eastAsia" w:ascii="仿宋_GB2312" w:hAnsi="仿宋_GB2312" w:eastAsia="仿宋_GB2312" w:cs="仿宋_GB2312"/>
              <w:b w:val="0"/>
              <w:bCs w:val="0"/>
              <w:szCs w:val="36"/>
            </w:rPr>
            <w:t>、浦发银行“专精特新”企业专项服务包</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_Toc235432857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31</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_Toc302350256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二十一</w:t>
          </w:r>
          <w:r>
            <w:rPr>
              <w:rFonts w:hint="eastAsia" w:ascii="仿宋_GB2312" w:hAnsi="仿宋_GB2312" w:eastAsia="仿宋_GB2312" w:cs="仿宋_GB2312"/>
              <w:b w:val="0"/>
              <w:bCs w:val="0"/>
              <w:szCs w:val="36"/>
            </w:rPr>
            <w:t>、渤海银行“专精特新”企业专属金融产品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_Toc302350256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32</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50" w:lineRule="exact"/>
            <w:textAlignment w:val="auto"/>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_Toc2042659175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szCs w:val="36"/>
              <w:lang w:val="en-US" w:eastAsia="zh-CN"/>
            </w:rPr>
            <w:t>二十二、浙商银行“专精特新”企业专属金融产品</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_Toc2042659175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33</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fldChar w:fldCharType="end"/>
          </w:r>
          <w:r>
            <w:fldChar w:fldCharType="end"/>
          </w:r>
          <w:bookmarkStart w:id="35" w:name="_Toc581915814"/>
        </w:p>
      </w:sdtContent>
    </w:sd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黑体" w:hAnsi="黑体" w:eastAsia="黑体" w:cs="黑体"/>
          <w:sz w:val="36"/>
          <w:szCs w:val="36"/>
        </w:rPr>
      </w:pPr>
      <w:r>
        <w:rPr>
          <w:rFonts w:hint="eastAsia" w:ascii="黑体" w:hAnsi="黑体" w:eastAsia="黑体" w:cs="黑体"/>
          <w:sz w:val="36"/>
          <w:szCs w:val="36"/>
        </w:rPr>
        <w:t>一、兴业银行“专精特新”企业专属金融产品</w:t>
      </w:r>
      <w:bookmarkEnd w:id="34"/>
      <w:bookmarkEnd w:id="35"/>
      <w:bookmarkStart w:id="36" w:name="_Toc25434_WPSOffice_Level2"/>
    </w:p>
    <w:p>
      <w:pPr>
        <w:tabs>
          <w:tab w:val="left" w:pos="210"/>
        </w:tabs>
        <w:spacing w:line="600" w:lineRule="exact"/>
        <w:ind w:firstLine="640" w:firstLineChars="200"/>
        <w:rPr>
          <w:rFonts w:ascii="楷体" w:hAnsi="楷体" w:eastAsia="楷体" w:cs="楷体"/>
          <w:bCs/>
          <w:szCs w:val="32"/>
        </w:rPr>
      </w:pPr>
      <w:bookmarkStart w:id="37" w:name="_Toc22439"/>
      <w:bookmarkStart w:id="38" w:name="_Toc23191"/>
    </w:p>
    <w:p>
      <w:pPr>
        <w:tabs>
          <w:tab w:val="left" w:pos="210"/>
        </w:tabs>
        <w:spacing w:line="600" w:lineRule="exact"/>
        <w:ind w:firstLine="640" w:firstLineChars="200"/>
        <w:outlineLvl w:val="0"/>
        <w:rPr>
          <w:rFonts w:ascii="楷体" w:hAnsi="楷体" w:eastAsia="楷体" w:cs="楷体"/>
          <w:b/>
          <w:szCs w:val="32"/>
        </w:rPr>
      </w:pPr>
      <w:bookmarkStart w:id="39" w:name="_Toc10172"/>
      <w:bookmarkStart w:id="40" w:name="_Toc1198133062"/>
      <w:bookmarkStart w:id="41" w:name="_Toc6456"/>
      <w:bookmarkStart w:id="42" w:name="_Toc1259611527"/>
      <w:bookmarkStart w:id="43" w:name="_Toc21403"/>
      <w:bookmarkStart w:id="44" w:name="_Toc11507"/>
      <w:r>
        <w:rPr>
          <w:rFonts w:hint="eastAsia" w:ascii="楷体" w:hAnsi="楷体" w:eastAsia="楷体" w:cs="楷体"/>
          <w:bCs/>
          <w:szCs w:val="32"/>
        </w:rPr>
        <w:t>（一）</w:t>
      </w:r>
      <w:r>
        <w:rPr>
          <w:rFonts w:hint="eastAsia" w:ascii="楷体" w:hAnsi="楷体" w:eastAsia="楷体" w:cs="楷体"/>
          <w:b/>
          <w:szCs w:val="32"/>
        </w:rPr>
        <w:t>投联贷</w:t>
      </w:r>
      <w:bookmarkEnd w:id="37"/>
      <w:bookmarkEnd w:id="38"/>
      <w:bookmarkEnd w:id="39"/>
      <w:bookmarkEnd w:id="40"/>
      <w:bookmarkEnd w:id="41"/>
      <w:bookmarkEnd w:id="42"/>
      <w:bookmarkEnd w:id="43"/>
      <w:bookmarkEnd w:id="44"/>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兴业银行对业务合作名单范围内的投资机构已投资或拟投资入股的企业，按照已引入或拟引入投资金额的一定比例为企业提供债权融资，用于与企业真实合法生产经营相关的资金需求，包括原材料采购、贸易采购、薪资发放、设备购置更新、厂房（商用房）建设、租金支付、产品研发、专利购买等。</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适用于高新技术产业、战略性新兴产业内已引入股权投资或拟引入股权投资的企业。</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授信额度：</w:t>
      </w:r>
      <w:r>
        <w:rPr>
          <w:rFonts w:hint="eastAsia" w:ascii="仿宋_GB2312" w:hAnsi="仿宋_GB2312" w:eastAsia="仿宋_GB2312" w:cs="仿宋_GB2312"/>
          <w:kern w:val="0"/>
          <w:szCs w:val="32"/>
        </w:rPr>
        <w:t>最高可达5000万元。</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担保模式：</w:t>
      </w:r>
      <w:r>
        <w:rPr>
          <w:rFonts w:hint="eastAsia" w:ascii="仿宋_GB2312" w:hAnsi="仿宋_GB2312" w:eastAsia="仿宋_GB2312" w:cs="仿宋_GB2312"/>
          <w:kern w:val="0"/>
          <w:szCs w:val="32"/>
        </w:rPr>
        <w:t>信用免担保等多种方式。</w:t>
      </w:r>
    </w:p>
    <w:p>
      <w:pPr>
        <w:tabs>
          <w:tab w:val="left" w:pos="210"/>
        </w:tabs>
        <w:spacing w:line="600" w:lineRule="exact"/>
        <w:ind w:firstLine="640" w:firstLineChars="200"/>
        <w:rPr>
          <w:rFonts w:ascii="楷体" w:hAnsi="楷体" w:eastAsia="楷体" w:cs="楷体"/>
          <w:bCs/>
          <w:szCs w:val="32"/>
        </w:rPr>
      </w:pPr>
      <w:bookmarkStart w:id="45" w:name="_Toc4118"/>
      <w:bookmarkStart w:id="46" w:name="_Toc3177"/>
    </w:p>
    <w:p>
      <w:pPr>
        <w:tabs>
          <w:tab w:val="left" w:pos="210"/>
        </w:tabs>
        <w:spacing w:line="600" w:lineRule="exact"/>
        <w:ind w:firstLine="640" w:firstLineChars="200"/>
        <w:outlineLvl w:val="0"/>
        <w:rPr>
          <w:rFonts w:ascii="楷体" w:hAnsi="楷体" w:eastAsia="楷体" w:cs="楷体"/>
          <w:b/>
          <w:szCs w:val="32"/>
        </w:rPr>
      </w:pPr>
      <w:bookmarkStart w:id="47" w:name="_Toc25766"/>
      <w:bookmarkStart w:id="48" w:name="_Toc1016764475"/>
      <w:bookmarkStart w:id="49" w:name="_Toc15273"/>
      <w:bookmarkStart w:id="50" w:name="_Toc13435"/>
      <w:bookmarkStart w:id="51" w:name="_Toc277515683"/>
      <w:bookmarkStart w:id="52" w:name="_Toc9102"/>
      <w:r>
        <w:rPr>
          <w:rFonts w:hint="eastAsia" w:ascii="楷体" w:hAnsi="楷体" w:eastAsia="楷体" w:cs="楷体"/>
          <w:bCs/>
          <w:szCs w:val="32"/>
        </w:rPr>
        <w:t>（二）</w:t>
      </w:r>
      <w:r>
        <w:rPr>
          <w:rFonts w:hint="eastAsia" w:ascii="楷体" w:hAnsi="楷体" w:eastAsia="楷体" w:cs="楷体"/>
          <w:b/>
          <w:szCs w:val="32"/>
        </w:rPr>
        <w:t>高科技人才创业贷款</w:t>
      </w:r>
      <w:bookmarkEnd w:id="45"/>
      <w:bookmarkEnd w:id="46"/>
      <w:bookmarkEnd w:id="47"/>
      <w:bookmarkEnd w:id="48"/>
      <w:bookmarkEnd w:id="49"/>
      <w:bookmarkEnd w:id="50"/>
      <w:bookmarkEnd w:id="51"/>
      <w:bookmarkEnd w:id="52"/>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bCs/>
          <w:kern w:val="0"/>
          <w:szCs w:val="32"/>
        </w:rPr>
        <w:t>兴业银行专门向实控人被纳入政府特殊人才计划的科创企业提供中短期授信支持</w:t>
      </w:r>
      <w:r>
        <w:rPr>
          <w:rFonts w:hint="eastAsia" w:ascii="仿宋_GB2312" w:hAnsi="仿宋_GB2312" w:eastAsia="仿宋_GB2312" w:cs="仿宋_GB2312"/>
          <w:kern w:val="0"/>
          <w:szCs w:val="32"/>
        </w:rPr>
        <w:t>。</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szCs w:val="32"/>
        </w:rPr>
        <w:t>实控人被纳入政府特殊人才计划的企业</w:t>
      </w:r>
      <w:r>
        <w:rPr>
          <w:rFonts w:hint="eastAsia" w:ascii="仿宋_GB2312" w:hAnsi="仿宋_GB2312" w:eastAsia="仿宋_GB2312" w:cs="仿宋_GB2312"/>
          <w:kern w:val="0"/>
          <w:szCs w:val="32"/>
        </w:rPr>
        <w:t>。</w:t>
      </w:r>
    </w:p>
    <w:p>
      <w:pPr>
        <w:spacing w:line="600" w:lineRule="exact"/>
        <w:ind w:firstLine="642" w:firstLineChars="200"/>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kern w:val="0"/>
          <w:szCs w:val="32"/>
        </w:rPr>
        <w:t>流动资金贷款期限最长可达3年，固定资产贷款期限最长可达5年。</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授信额度：</w:t>
      </w:r>
      <w:r>
        <w:rPr>
          <w:rFonts w:hint="eastAsia" w:ascii="仿宋_GB2312" w:hAnsi="仿宋_GB2312" w:eastAsia="仿宋_GB2312" w:cs="仿宋_GB2312"/>
          <w:kern w:val="0"/>
          <w:szCs w:val="32"/>
        </w:rPr>
        <w:t>最高可达2000万元。</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担保模式：</w:t>
      </w:r>
      <w:r>
        <w:rPr>
          <w:rFonts w:hint="eastAsia" w:ascii="仿宋_GB2312" w:hAnsi="仿宋_GB2312" w:eastAsia="仿宋_GB2312" w:cs="仿宋_GB2312"/>
          <w:kern w:val="0"/>
          <w:szCs w:val="32"/>
        </w:rPr>
        <w:t>支持信用免担保等各类授信模式。</w:t>
      </w:r>
    </w:p>
    <w:p>
      <w:pPr>
        <w:tabs>
          <w:tab w:val="left" w:pos="210"/>
        </w:tabs>
        <w:spacing w:line="600" w:lineRule="exact"/>
        <w:ind w:firstLine="642" w:firstLineChars="200"/>
        <w:rPr>
          <w:rFonts w:ascii="楷体" w:hAnsi="楷体" w:eastAsia="楷体" w:cs="楷体"/>
          <w:b/>
          <w:szCs w:val="32"/>
        </w:rPr>
      </w:pPr>
      <w:bookmarkStart w:id="53" w:name="_Toc1670"/>
      <w:bookmarkStart w:id="54" w:name="_Toc10108"/>
      <w:bookmarkStart w:id="55" w:name="_Toc12135"/>
    </w:p>
    <w:p>
      <w:pPr>
        <w:tabs>
          <w:tab w:val="left" w:pos="210"/>
        </w:tabs>
        <w:spacing w:line="600" w:lineRule="exact"/>
        <w:ind w:firstLine="642" w:firstLineChars="200"/>
        <w:outlineLvl w:val="0"/>
        <w:rPr>
          <w:rFonts w:ascii="楷体" w:hAnsi="楷体" w:eastAsia="楷体" w:cs="楷体"/>
          <w:b/>
          <w:szCs w:val="32"/>
        </w:rPr>
      </w:pPr>
      <w:bookmarkStart w:id="56" w:name="_Toc367963128"/>
      <w:bookmarkStart w:id="57" w:name="_Toc9816"/>
      <w:bookmarkStart w:id="58" w:name="_Toc1474086761"/>
      <w:bookmarkStart w:id="59" w:name="_Toc14329"/>
      <w:bookmarkStart w:id="60" w:name="_Toc12360"/>
      <w:r>
        <w:rPr>
          <w:rFonts w:hint="eastAsia" w:ascii="楷体" w:hAnsi="楷体" w:eastAsia="楷体" w:cs="楷体"/>
          <w:b/>
          <w:szCs w:val="32"/>
        </w:rPr>
        <w:t>（三）兴速贷（优质科创企业专属）</w:t>
      </w:r>
      <w:bookmarkEnd w:id="53"/>
      <w:bookmarkEnd w:id="54"/>
      <w:bookmarkEnd w:id="55"/>
      <w:bookmarkEnd w:id="56"/>
      <w:bookmarkEnd w:id="57"/>
      <w:bookmarkEnd w:id="58"/>
      <w:bookmarkEnd w:id="59"/>
      <w:bookmarkEnd w:id="60"/>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兴业银行依托大数据运用，针对优质科创企业开发专属数据模型，对符合模型准入的企业，系统自动核定授信额度并发放贷款的线上融资业务。</w:t>
      </w:r>
    </w:p>
    <w:p>
      <w:pPr>
        <w:spacing w:line="600" w:lineRule="exact"/>
        <w:ind w:firstLine="642" w:firstLineChars="200"/>
        <w:rPr>
          <w:rFonts w:eastAsia="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适用于优质科创企业，具体包括：国家级专精特新“小巨人”、部分地区的省级专精特新企业、本行优选白名单投资机构被投企业以及其他优质科创企业。</w:t>
      </w:r>
    </w:p>
    <w:p>
      <w:pPr>
        <w:spacing w:line="600" w:lineRule="exact"/>
        <w:ind w:firstLine="642" w:firstLineChars="200"/>
        <w:rPr>
          <w:rFonts w:eastAsia="仿宋_GB231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kern w:val="0"/>
          <w:szCs w:val="32"/>
        </w:rPr>
        <w:t>流动资金贷款期限最长可达3年，固定资产贷款期限最长可达5年。</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授信额度：</w:t>
      </w:r>
      <w:r>
        <w:rPr>
          <w:rFonts w:hint="eastAsia" w:ascii="仿宋_GB2312" w:hAnsi="仿宋_GB2312" w:eastAsia="仿宋_GB2312" w:cs="仿宋_GB2312"/>
          <w:kern w:val="0"/>
          <w:szCs w:val="32"/>
        </w:rPr>
        <w:t>最高可达1000万元。</w:t>
      </w:r>
    </w:p>
    <w:p>
      <w:pPr>
        <w:spacing w:line="600" w:lineRule="exact"/>
        <w:ind w:firstLine="642" w:firstLineChars="200"/>
        <w:rPr>
          <w:rFonts w:ascii="仿宋_GB2312" w:hAnsi="仿宋_GB2312" w:eastAsia="仿宋_GB2312" w:cs="仿宋_GB2312"/>
          <w:bCs/>
          <w:kern w:val="0"/>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担保模式：</w:t>
      </w:r>
      <w:r>
        <w:rPr>
          <w:rFonts w:hint="eastAsia" w:ascii="仿宋_GB2312" w:hAnsi="仿宋_GB2312" w:eastAsia="仿宋_GB2312" w:cs="仿宋_GB2312"/>
          <w:kern w:val="0"/>
          <w:szCs w:val="32"/>
        </w:rPr>
        <w:t>无需资产抵押，可采取信用免担保或企业主担保。</w:t>
      </w:r>
    </w:p>
    <w:p>
      <w:pPr>
        <w:spacing w:line="600" w:lineRule="exact"/>
        <w:ind w:firstLine="642" w:firstLineChars="200"/>
        <w:rPr>
          <w:rFonts w:eastAsia="宋体"/>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还款模式：</w:t>
      </w:r>
      <w:r>
        <w:rPr>
          <w:rFonts w:hint="eastAsia" w:ascii="仿宋_GB2312" w:hAnsi="仿宋_GB2312" w:eastAsia="仿宋_GB2312" w:cs="仿宋_GB2312"/>
          <w:kern w:val="0"/>
          <w:szCs w:val="32"/>
        </w:rPr>
        <w:t>在授信有效期内，根据企业经营周转需求，可多次提款，循环使用，随借随还。</w:t>
      </w:r>
    </w:p>
    <w:p>
      <w:pPr>
        <w:tabs>
          <w:tab w:val="left" w:pos="210"/>
        </w:tabs>
        <w:spacing w:line="600" w:lineRule="exact"/>
        <w:ind w:firstLine="642" w:firstLineChars="200"/>
        <w:rPr>
          <w:rFonts w:ascii="楷体" w:hAnsi="楷体" w:eastAsia="楷体" w:cs="楷体"/>
          <w:b/>
          <w:szCs w:val="32"/>
        </w:rPr>
      </w:pPr>
      <w:bookmarkStart w:id="61" w:name="_Toc11099"/>
      <w:bookmarkStart w:id="62" w:name="_Toc28176"/>
    </w:p>
    <w:p>
      <w:pPr>
        <w:tabs>
          <w:tab w:val="left" w:pos="210"/>
        </w:tabs>
        <w:spacing w:line="600" w:lineRule="exact"/>
        <w:ind w:firstLine="642" w:firstLineChars="200"/>
        <w:outlineLvl w:val="0"/>
        <w:rPr>
          <w:rFonts w:ascii="楷体" w:hAnsi="楷体" w:eastAsia="楷体" w:cs="楷体"/>
          <w:b/>
          <w:szCs w:val="32"/>
        </w:rPr>
      </w:pPr>
      <w:bookmarkStart w:id="63" w:name="_Toc31885"/>
      <w:bookmarkStart w:id="64" w:name="_Toc4499"/>
      <w:bookmarkStart w:id="65" w:name="_Toc1649804366"/>
      <w:bookmarkStart w:id="66" w:name="_Toc12534"/>
      <w:bookmarkStart w:id="67" w:name="_Toc1685268981"/>
      <w:bookmarkStart w:id="68" w:name="_Toc6536"/>
      <w:r>
        <w:rPr>
          <w:rFonts w:hint="eastAsia" w:ascii="楷体" w:hAnsi="楷体" w:eastAsia="楷体" w:cs="楷体"/>
          <w:b/>
          <w:szCs w:val="32"/>
        </w:rPr>
        <w:t>（四）</w:t>
      </w:r>
      <w:r>
        <w:rPr>
          <w:rFonts w:hint="eastAsia" w:ascii="楷体" w:hAnsi="楷体" w:eastAsia="楷体" w:cs="楷体"/>
          <w:b/>
          <w:kern w:val="0"/>
          <w:szCs w:val="32"/>
        </w:rPr>
        <w:t>知识产权质押融资</w:t>
      </w:r>
      <w:bookmarkEnd w:id="61"/>
      <w:bookmarkEnd w:id="62"/>
      <w:bookmarkEnd w:id="63"/>
      <w:bookmarkEnd w:id="64"/>
      <w:bookmarkEnd w:id="65"/>
      <w:bookmarkEnd w:id="66"/>
      <w:bookmarkEnd w:id="67"/>
      <w:bookmarkEnd w:id="68"/>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 xml:space="preserve">兴业银行向融资人发放的，由出质人（融资人或者第三方）以合法有效的知识产权作质押，用于满足融资人生产经营过程中正常资金需求的融资业务。 </w:t>
      </w:r>
    </w:p>
    <w:p>
      <w:pPr>
        <w:spacing w:line="600" w:lineRule="exact"/>
        <w:ind w:firstLine="642" w:firstLineChars="200"/>
        <w:rPr>
          <w:rFonts w:eastAsia="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适用于能够提供合法有效的知识产权质押，且具有知识产权实施能力和获利能力的企业。</w:t>
      </w:r>
    </w:p>
    <w:p>
      <w:pPr>
        <w:pStyle w:val="4"/>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产品特点：</w:t>
      </w:r>
      <w:bookmarkEnd w:id="36"/>
      <w:r>
        <w:rPr>
          <w:rFonts w:hint="eastAsia" w:ascii="仿宋_GB2312" w:hAnsi="仿宋_GB2312" w:eastAsia="仿宋_GB2312" w:cs="仿宋_GB2312"/>
          <w:kern w:val="0"/>
          <w:szCs w:val="32"/>
        </w:rPr>
        <w:t>通过知识产权中的专利权质押融资，可享受各地政府贷款利息、评估费、保险费等补贴政策，有效降低融资成本。可引入政府或担保机构及保险机构损失分担模式，提高融资额度和审批效率。</w:t>
      </w:r>
    </w:p>
    <w:p>
      <w:pPr>
        <w:spacing w:line="600" w:lineRule="exact"/>
        <w:ind w:left="640" w:leftChars="200"/>
        <w:rPr>
          <w:rFonts w:ascii="楷体" w:hAnsi="楷体" w:eastAsia="楷体" w:cs="楷体"/>
          <w:b/>
          <w:szCs w:val="32"/>
        </w:rPr>
      </w:pPr>
      <w:bookmarkStart w:id="69" w:name="_Toc14555"/>
      <w:bookmarkStart w:id="70" w:name="_Toc32158"/>
    </w:p>
    <w:p>
      <w:pPr>
        <w:spacing w:line="600" w:lineRule="exact"/>
        <w:ind w:left="640" w:leftChars="200"/>
        <w:outlineLvl w:val="0"/>
        <w:rPr>
          <w:rFonts w:ascii="楷体" w:hAnsi="楷体" w:eastAsia="楷体" w:cs="楷体"/>
          <w:b/>
          <w:color w:val="0000FF"/>
          <w:kern w:val="0"/>
          <w:szCs w:val="32"/>
        </w:rPr>
      </w:pPr>
      <w:bookmarkStart w:id="71" w:name="_Toc12795"/>
      <w:bookmarkStart w:id="72" w:name="_Toc24576"/>
      <w:bookmarkStart w:id="73" w:name="_Toc15820"/>
      <w:bookmarkStart w:id="74" w:name="_Toc1651"/>
      <w:bookmarkStart w:id="75" w:name="_Toc922904299"/>
      <w:bookmarkStart w:id="76" w:name="_Toc583875560"/>
      <w:r>
        <w:rPr>
          <w:rFonts w:hint="eastAsia" w:ascii="楷体" w:hAnsi="楷体" w:eastAsia="楷体" w:cs="楷体"/>
          <w:b/>
          <w:szCs w:val="32"/>
        </w:rPr>
        <w:t>（五）</w:t>
      </w:r>
      <w:r>
        <w:rPr>
          <w:rFonts w:hint="eastAsia" w:ascii="楷体" w:hAnsi="楷体" w:eastAsia="楷体" w:cs="楷体"/>
          <w:b/>
          <w:kern w:val="0"/>
          <w:szCs w:val="32"/>
        </w:rPr>
        <w:t>科创票据</w:t>
      </w:r>
      <w:bookmarkEnd w:id="69"/>
      <w:bookmarkEnd w:id="70"/>
      <w:bookmarkEnd w:id="71"/>
      <w:bookmarkEnd w:id="72"/>
      <w:bookmarkEnd w:id="73"/>
      <w:bookmarkEnd w:id="74"/>
      <w:bookmarkEnd w:id="75"/>
      <w:bookmarkEnd w:id="76"/>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由科技创新企业发行，或募集资金用于科技创新领域。</w:t>
      </w:r>
    </w:p>
    <w:p>
      <w:pPr>
        <w:spacing w:line="60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信用资质良好，满足发行科创票据要求的科技创新型企业，以及对科技创新领域具有投资需求的实体产业类企业、</w:t>
      </w:r>
      <w:r>
        <w:rPr>
          <w:rFonts w:hint="eastAsia" w:ascii="仿宋_GB2312" w:hAnsi="仿宋_GB2312" w:eastAsia="仿宋_GB2312" w:cs="仿宋_GB2312"/>
          <w:szCs w:val="32"/>
        </w:rPr>
        <w:t>国有投资平台、市场化投资机构等</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kern w:val="0"/>
          <w:szCs w:val="32"/>
        </w:rPr>
        <w:t>可发行短期品种以及中长期品种，短期品种一般为1年以内，中长期品种一般为3到5年。如债券用于投资科技企业股权，可匹配项目投资期及退出期，设置“N+N”的期限结构，满足长期资金需求。</w:t>
      </w:r>
    </w:p>
    <w:p>
      <w:pPr>
        <w:pStyle w:val="4"/>
        <w:spacing w:line="600" w:lineRule="exact"/>
        <w:ind w:firstLine="640" w:firstLineChars="200"/>
        <w:rPr>
          <w:rFonts w:ascii="仿宋_GB2312" w:hAnsi="仿宋_GB2312" w:eastAsia="仿宋_GB2312" w:cs="仿宋_GB2312"/>
          <w:color w:val="000000"/>
          <w:kern w:val="0"/>
          <w:szCs w:val="32"/>
        </w:rPr>
      </w:pPr>
    </w:p>
    <w:p>
      <w:pPr>
        <w:pStyle w:val="4"/>
        <w:spacing w:line="600" w:lineRule="exact"/>
        <w:ind w:firstLine="640" w:firstLineChars="200"/>
        <w:rPr>
          <w:rFonts w:ascii="仿宋_GB2312" w:hAnsi="仿宋_GB2312" w:eastAsia="仿宋_GB2312" w:cs="仿宋_GB2312"/>
          <w:color w:val="000000"/>
          <w:kern w:val="0"/>
          <w:szCs w:val="32"/>
        </w:rPr>
      </w:pPr>
    </w:p>
    <w:p>
      <w:pPr>
        <w:pStyle w:val="4"/>
        <w:spacing w:line="600" w:lineRule="exact"/>
        <w:ind w:firstLine="640" w:firstLineChars="200"/>
        <w:rPr>
          <w:rFonts w:ascii="仿宋_GB2312" w:hAnsi="仿宋_GB2312" w:eastAsia="仿宋_GB2312" w:cs="仿宋_GB2312"/>
          <w:color w:val="000000"/>
          <w:kern w:val="0"/>
          <w:szCs w:val="32"/>
        </w:rPr>
      </w:pPr>
    </w:p>
    <w:p>
      <w:pPr>
        <w:pStyle w:val="4"/>
        <w:spacing w:line="600" w:lineRule="exact"/>
        <w:ind w:firstLine="640" w:firstLineChars="200"/>
        <w:rPr>
          <w:rFonts w:ascii="仿宋_GB2312" w:hAnsi="仿宋_GB2312" w:eastAsia="仿宋_GB2312" w:cs="仿宋_GB2312"/>
          <w:color w:val="000000"/>
          <w:kern w:val="0"/>
          <w:szCs w:val="32"/>
        </w:rPr>
      </w:pPr>
    </w:p>
    <w:p>
      <w:pPr>
        <w:pStyle w:val="4"/>
      </w:pPr>
      <w:bookmarkStart w:id="77" w:name="_Toc28013"/>
      <w:bookmarkStart w:id="78" w:name="_Toc30975"/>
      <w:bookmarkStart w:id="79" w:name="_Toc26712"/>
    </w:p>
    <w:p>
      <w:pPr>
        <w:pStyle w:val="7"/>
        <w:ind w:firstLine="720"/>
        <w:outlineLvl w:val="0"/>
        <w:rPr>
          <w:rFonts w:hint="default"/>
          <w:sz w:val="36"/>
          <w:szCs w:val="36"/>
        </w:rPr>
      </w:pPr>
      <w:bookmarkStart w:id="80" w:name="_Toc2842"/>
      <w:bookmarkStart w:id="81" w:name="_Toc23314"/>
      <w:bookmarkStart w:id="82" w:name="_Toc1037926693"/>
      <w:r>
        <w:rPr>
          <w:sz w:val="36"/>
          <w:szCs w:val="36"/>
        </w:rPr>
        <w:t>二、福建农信“专精特新”企业专属金融产品</w:t>
      </w:r>
      <w:bookmarkEnd w:id="77"/>
      <w:bookmarkEnd w:id="78"/>
      <w:bookmarkEnd w:id="79"/>
      <w:bookmarkEnd w:id="80"/>
      <w:bookmarkEnd w:id="81"/>
      <w:bookmarkEnd w:id="82"/>
    </w:p>
    <w:p>
      <w:pPr>
        <w:snapToGrid w:val="0"/>
        <w:spacing w:line="60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rPr>
        <w:br w:type="textWrapping"/>
      </w:r>
      <w:r>
        <w:rPr>
          <w:rFonts w:hint="eastAsia" w:ascii="楷体" w:hAnsi="楷体" w:eastAsia="楷体" w:cs="楷体"/>
          <w:b/>
          <w:bCs/>
          <w:szCs w:val="32"/>
        </w:rPr>
        <w:t xml:space="preserve">    （一）福工·科技贷</w:t>
      </w:r>
    </w:p>
    <w:p>
      <w:pPr>
        <w:snapToGrid w:val="0"/>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福工·科技贷是福建农信系统（农商银行、农村信用社）针对中小企业主管部门认定的省级及以上“专精特新”中小企业，发放的用于满足其生产经营需求的人民币流动资金。</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szCs w:val="32"/>
        </w:rPr>
        <w:t>属于中小企业主管部门认定的省级及以上“专精特新”中小企业、国家及省高新技术企业、科技型中小企业、省科技小巨人企业、获得“科技进步奖”、专利权、省级科技计划项目立项的企业、省级新型研发机构（企业类）等其他省级及以上资质认证的高新技术企业。</w:t>
      </w:r>
    </w:p>
    <w:p>
      <w:pPr>
        <w:spacing w:line="60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szCs w:val="32"/>
        </w:rPr>
        <w:t>最长3年。</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szCs w:val="32"/>
        </w:rPr>
        <w:t>单户贷款额度原则上不超过1000万元。</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业务流程：</w:t>
      </w:r>
      <w:r>
        <w:rPr>
          <w:rFonts w:hint="eastAsia" w:ascii="仿宋_GB2312" w:hAnsi="仿宋_GB2312" w:eastAsia="仿宋_GB2312" w:cs="仿宋_GB2312"/>
          <w:szCs w:val="32"/>
        </w:rPr>
        <w:t>企业向福建农信系统（农商银行、农村信用社）经办团队或网点提交产品贷款申请；贷款审批通过后，签订借款合同，办妥贷款相关核保手续，发放贷款。</w:t>
      </w:r>
    </w:p>
    <w:p>
      <w:pPr>
        <w:pStyle w:val="5"/>
        <w:spacing w:before="0" w:after="0" w:line="600" w:lineRule="exact"/>
        <w:jc w:val="both"/>
        <w:rPr>
          <w:sz w:val="36"/>
          <w:szCs w:val="36"/>
        </w:rPr>
      </w:pPr>
      <w:bookmarkStart w:id="83" w:name="_Toc25804"/>
      <w:bookmarkStart w:id="84" w:name="_Toc418"/>
      <w:bookmarkStart w:id="85" w:name="_Toc26537"/>
      <w:bookmarkStart w:id="86" w:name="_Toc19337"/>
      <w:bookmarkStart w:id="87" w:name="_Toc8556"/>
      <w:bookmarkStart w:id="88" w:name="_Toc32511"/>
      <w:bookmarkStart w:id="89" w:name="_Toc15046"/>
    </w:p>
    <w:p>
      <w:pPr>
        <w:spacing w:line="600" w:lineRule="exact"/>
        <w:rPr>
          <w:sz w:val="36"/>
          <w:szCs w:val="36"/>
        </w:rPr>
      </w:pPr>
    </w:p>
    <w:p>
      <w:pPr>
        <w:pStyle w:val="2"/>
        <w:spacing w:before="0" w:beforeAutospacing="0" w:after="0" w:line="600" w:lineRule="exact"/>
        <w:ind w:left="640" w:firstLine="640"/>
      </w:pPr>
    </w:p>
    <w:p>
      <w:pPr>
        <w:pStyle w:val="4"/>
      </w:pPr>
    </w:p>
    <w:p>
      <w:pPr>
        <w:pStyle w:val="4"/>
      </w:pPr>
    </w:p>
    <w:p>
      <w:pPr>
        <w:pStyle w:val="7"/>
        <w:ind w:firstLine="720"/>
        <w:outlineLvl w:val="0"/>
        <w:rPr>
          <w:rFonts w:hint="default"/>
          <w:sz w:val="36"/>
          <w:szCs w:val="36"/>
        </w:rPr>
      </w:pPr>
      <w:bookmarkStart w:id="90" w:name="_Toc23200"/>
      <w:bookmarkStart w:id="91" w:name="_Toc18967602"/>
      <w:r>
        <w:rPr>
          <w:sz w:val="36"/>
          <w:szCs w:val="36"/>
        </w:rPr>
        <w:t>三、福建海峡银行专精特新直通车</w:t>
      </w:r>
      <w:bookmarkEnd w:id="83"/>
      <w:bookmarkEnd w:id="84"/>
      <w:bookmarkEnd w:id="85"/>
      <w:bookmarkEnd w:id="86"/>
      <w:bookmarkEnd w:id="90"/>
      <w:bookmarkEnd w:id="91"/>
    </w:p>
    <w:p>
      <w:pPr>
        <w:spacing w:line="600" w:lineRule="exact"/>
        <w:ind w:firstLine="642" w:firstLineChars="200"/>
        <w:rPr>
          <w:rFonts w:ascii="楷体" w:hAnsi="楷体" w:eastAsia="楷体" w:cs="楷体"/>
          <w:b/>
          <w:szCs w:val="32"/>
        </w:rPr>
      </w:pPr>
    </w:p>
    <w:p>
      <w:pPr>
        <w:spacing w:line="576" w:lineRule="exact"/>
        <w:ind w:firstLine="642" w:firstLineChars="200"/>
        <w:rPr>
          <w:rFonts w:ascii="楷体" w:hAnsi="楷体" w:eastAsia="楷体" w:cs="楷体"/>
          <w:b/>
          <w:szCs w:val="32"/>
        </w:rPr>
      </w:pPr>
      <w:r>
        <w:rPr>
          <w:rFonts w:hint="eastAsia" w:ascii="楷体" w:hAnsi="楷体" w:eastAsia="楷体" w:cs="楷体"/>
          <w:b/>
          <w:szCs w:val="32"/>
        </w:rPr>
        <w:t>（一）专精特新直通车</w:t>
      </w:r>
    </w:p>
    <w:p>
      <w:pPr>
        <w:spacing w:line="576"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szCs w:val="32"/>
          <w:lang w:val="en-US" w:eastAsia="zh-CN"/>
        </w:rPr>
        <w:t>1.</w:t>
      </w:r>
      <w:r>
        <w:rPr>
          <w:rFonts w:hint="eastAsia" w:ascii="仿宋_GB2312" w:hAnsi="仿宋_GB2312" w:eastAsia="仿宋_GB2312" w:cs="仿宋_GB2312"/>
          <w:b/>
          <w:szCs w:val="32"/>
        </w:rPr>
        <w:t>产品简介：</w:t>
      </w:r>
      <w:r>
        <w:rPr>
          <w:rFonts w:hint="eastAsia" w:ascii="仿宋_GB2312" w:hAnsi="仿宋_GB2312" w:eastAsia="仿宋_GB2312" w:cs="仿宋_GB2312"/>
          <w:szCs w:val="32"/>
        </w:rPr>
        <w:t>该产品为福建海峡银行“科技+”品牌下针对国家专精特新“小巨人”及省“专精特新”中小企业客群推出的专项金融产品。该产品可支持信用、保证、抵押多种担保方式，信用类贷款额度最高可达2000万，抵押率最高可至170%，鼓励企业使用自有知识产权进行质押增额，贷款到期后可支持企业无还本续贷。针对国家专精特新小巨人企业实行“一户一议”，量身定制授信方案。</w:t>
      </w:r>
    </w:p>
    <w:p>
      <w:pPr>
        <w:spacing w:line="576" w:lineRule="exact"/>
        <w:ind w:firstLine="642" w:firstLineChars="200"/>
        <w:rPr>
          <w:rFonts w:ascii="仿宋" w:hAnsi="仿宋" w:eastAsia="仿宋_GB2312" w:cs="仿宋"/>
          <w:szCs w:val="32"/>
        </w:rPr>
      </w:pPr>
      <w:r>
        <w:rPr>
          <w:rFonts w:hint="eastAsia" w:ascii="仿宋_GB2312" w:hAnsi="仿宋_GB2312" w:eastAsia="仿宋_GB2312" w:cs="仿宋_GB2312"/>
          <w:b/>
          <w:szCs w:val="32"/>
          <w:lang w:val="en-US" w:eastAsia="zh-CN"/>
        </w:rPr>
        <w:t>2.</w:t>
      </w:r>
      <w:r>
        <w:rPr>
          <w:rFonts w:hint="eastAsia" w:ascii="仿宋_GB2312" w:hAnsi="仿宋_GB2312" w:eastAsia="仿宋_GB2312" w:cs="仿宋_GB2312"/>
          <w:b/>
          <w:szCs w:val="32"/>
        </w:rPr>
        <w:t>业务期限：</w:t>
      </w:r>
      <w:r>
        <w:rPr>
          <w:rFonts w:hint="eastAsia" w:ascii="仿宋_GB2312" w:hAnsi="仿宋_GB2312" w:eastAsia="仿宋_GB2312" w:cs="仿宋_GB2312"/>
          <w:szCs w:val="32"/>
        </w:rPr>
        <w:t>一年。</w:t>
      </w:r>
    </w:p>
    <w:p>
      <w:pPr>
        <w:spacing w:line="576" w:lineRule="exact"/>
        <w:ind w:firstLine="642" w:firstLineChars="200"/>
        <w:rPr>
          <w:rFonts w:ascii="仿宋" w:hAnsi="仿宋" w:eastAsia="仿宋_GB2312" w:cs="仿宋"/>
          <w:szCs w:val="32"/>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业务品种：</w:t>
      </w:r>
      <w:r>
        <w:rPr>
          <w:rFonts w:hint="eastAsia" w:ascii="仿宋_GB2312" w:hAnsi="仿宋_GB2312" w:eastAsia="仿宋_GB2312" w:cs="仿宋_GB2312"/>
          <w:szCs w:val="32"/>
        </w:rPr>
        <w:t>流动资金贷款。</w:t>
      </w:r>
    </w:p>
    <w:p>
      <w:pPr>
        <w:spacing w:line="576" w:lineRule="exact"/>
        <w:ind w:firstLine="642"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业务模式及优势：</w:t>
      </w:r>
      <w:r>
        <w:rPr>
          <w:rFonts w:hint="eastAsia" w:ascii="仿宋_GB2312" w:hAnsi="仿宋_GB2312" w:eastAsia="仿宋_GB2312" w:cs="仿宋_GB2312"/>
          <w:szCs w:val="32"/>
        </w:rPr>
        <w:t>①号列车：“极速+信用”——材料精简、极速核额，满足短期小额融资需求；</w:t>
      </w:r>
      <w:r>
        <w:rPr>
          <w:rFonts w:hint="eastAsia" w:ascii="仿宋" w:hAnsi="仿宋" w:eastAsia="仿宋" w:cs="仿宋"/>
          <w:szCs w:val="32"/>
        </w:rPr>
        <w:t xml:space="preserve"> </w:t>
      </w:r>
      <w:r>
        <w:rPr>
          <w:rFonts w:hint="eastAsia" w:ascii="仿宋_GB2312" w:hAnsi="仿宋_GB2312" w:eastAsia="仿宋_GB2312" w:cs="仿宋_GB2312"/>
          <w:szCs w:val="32"/>
        </w:rPr>
        <w:t>②号列车：“抵押放大+分批提用”——抵押率最高170%，支持商品住房、别墅、商业用房、工业厂房；③号列车：“债权+认股选择权”——债权转股权，远期行权，共享成长红利；④号列车：“预核额+多产品组合”——预核额最高2000万，可提供综合金融服务方案。以上所有业务模式均支持无还本续贷。</w:t>
      </w:r>
      <w:bookmarkEnd w:id="87"/>
      <w:bookmarkEnd w:id="88"/>
      <w:bookmarkEnd w:id="89"/>
    </w:p>
    <w:p>
      <w:pPr>
        <w:pStyle w:val="2"/>
        <w:rPr>
          <w:rFonts w:hint="eastAsia" w:ascii="仿宋_GB2312" w:hAnsi="仿宋_GB2312" w:eastAsia="仿宋_GB2312" w:cs="仿宋_GB2312"/>
          <w:szCs w:val="32"/>
        </w:rPr>
      </w:pPr>
    </w:p>
    <w:p>
      <w:pPr>
        <w:pStyle w:val="4"/>
      </w:pPr>
    </w:p>
    <w:p>
      <w:pPr>
        <w:pStyle w:val="7"/>
        <w:ind w:firstLine="720"/>
        <w:outlineLvl w:val="0"/>
        <w:rPr>
          <w:rFonts w:hint="default"/>
          <w:sz w:val="36"/>
          <w:szCs w:val="36"/>
        </w:rPr>
      </w:pPr>
      <w:bookmarkStart w:id="92" w:name="_Toc22150"/>
      <w:bookmarkStart w:id="93" w:name="_Toc10801452"/>
      <w:bookmarkStart w:id="94" w:name="_Toc11688"/>
      <w:r>
        <w:rPr>
          <w:sz w:val="36"/>
          <w:szCs w:val="36"/>
        </w:rPr>
        <w:t>四、泉州银行“专精特新”企业专属金融产品</w:t>
      </w:r>
      <w:bookmarkEnd w:id="92"/>
      <w:bookmarkEnd w:id="93"/>
      <w:bookmarkEnd w:id="94"/>
    </w:p>
    <w:p>
      <w:pPr>
        <w:pStyle w:val="4"/>
        <w:spacing w:line="600" w:lineRule="exact"/>
        <w:ind w:firstLine="642" w:firstLineChars="200"/>
        <w:jc w:val="both"/>
        <w:rPr>
          <w:rFonts w:ascii="仿宋" w:hAnsi="仿宋" w:eastAsia="仿宋" w:cs="仿宋"/>
          <w:b/>
          <w:bCs/>
          <w:szCs w:val="32"/>
        </w:rPr>
      </w:pPr>
    </w:p>
    <w:p>
      <w:pPr>
        <w:pStyle w:val="4"/>
        <w:spacing w:line="600" w:lineRule="exact"/>
        <w:ind w:firstLine="642" w:firstLineChars="200"/>
        <w:jc w:val="both"/>
        <w:rPr>
          <w:rFonts w:ascii="楷体" w:hAnsi="楷体" w:eastAsia="楷体" w:cs="楷体"/>
          <w:b/>
          <w:bCs/>
          <w:szCs w:val="32"/>
        </w:rPr>
      </w:pPr>
      <w:r>
        <w:rPr>
          <w:rFonts w:hint="eastAsia" w:ascii="楷体" w:hAnsi="楷体" w:eastAsia="楷体" w:cs="楷体"/>
          <w:b/>
          <w:bCs/>
          <w:szCs w:val="32"/>
        </w:rPr>
        <w:t>（一）中小微企业科技贷</w:t>
      </w:r>
    </w:p>
    <w:p>
      <w:pPr>
        <w:pStyle w:val="4"/>
        <w:spacing w:line="600" w:lineRule="exact"/>
        <w:ind w:firstLine="642" w:firstLineChars="200"/>
        <w:jc w:val="both"/>
        <w:rPr>
          <w:rFonts w:ascii="仿宋_GB2312" w:hAnsi="仿宋_GB2312" w:eastAsia="仿宋_GB2312" w:cs="仿宋_GB2312"/>
          <w:szCs w:val="32"/>
        </w:rPr>
      </w:pPr>
      <w:r>
        <w:rPr>
          <w:rFonts w:hint="eastAsia" w:ascii="仿宋_GB2312" w:hAnsi="仿宋_GB2312" w:eastAsia="仿宋_GB2312" w:cs="仿宋_GB2312"/>
          <w:b/>
          <w:szCs w:val="32"/>
          <w:lang w:val="en-US" w:eastAsia="zh-CN"/>
        </w:rPr>
        <w:t>1.</w:t>
      </w:r>
      <w:r>
        <w:rPr>
          <w:rFonts w:hint="eastAsia" w:ascii="仿宋_GB2312" w:hAnsi="仿宋_GB2312" w:eastAsia="仿宋_GB2312" w:cs="仿宋_GB2312"/>
          <w:b/>
          <w:szCs w:val="32"/>
        </w:rPr>
        <w:t>产品简介：</w:t>
      </w:r>
      <w:r>
        <w:rPr>
          <w:rFonts w:hint="eastAsia" w:ascii="仿宋_GB2312" w:hAnsi="仿宋_GB2312" w:eastAsia="仿宋_GB2312" w:cs="仿宋_GB2312"/>
          <w:szCs w:val="32"/>
        </w:rPr>
        <w:t>泉州银行推出中小微企业科技贷，主要用于满足科技型中小微企业生产过程中合理的流动资金需要,根据企业的资产规模、科技实力、生产经营情况及真实资金需求等为科技型企业综合核定授信额度并提供信贷支持。</w:t>
      </w:r>
    </w:p>
    <w:p>
      <w:pPr>
        <w:spacing w:line="600" w:lineRule="exact"/>
        <w:ind w:firstLine="642" w:firstLineChars="200"/>
        <w:outlineLvl w:val="0"/>
        <w:rPr>
          <w:rFonts w:ascii="仿宋_GB2312" w:hAnsi="仿宋_GB2312" w:eastAsia="仿宋_GB2312" w:cs="仿宋_GB2312"/>
          <w:szCs w:val="32"/>
        </w:rPr>
      </w:pPr>
      <w:bookmarkStart w:id="95" w:name="_Toc22946"/>
      <w:bookmarkStart w:id="96" w:name="_Toc21266"/>
      <w:bookmarkStart w:id="97" w:name="_Toc1337409615"/>
      <w:bookmarkStart w:id="98" w:name="_Toc354851897"/>
      <w:bookmarkStart w:id="99" w:name="_Toc15370"/>
      <w:bookmarkStart w:id="100" w:name="_Toc21935"/>
      <w:bookmarkStart w:id="101" w:name="_Toc24007"/>
      <w:bookmarkStart w:id="102" w:name="_Toc8616"/>
      <w:bookmarkStart w:id="103" w:name="_Toc16643"/>
      <w:r>
        <w:rPr>
          <w:rFonts w:hint="eastAsia" w:ascii="仿宋_GB2312" w:hAnsi="仿宋_GB2312" w:eastAsia="仿宋_GB2312" w:cs="仿宋_GB2312"/>
          <w:b/>
          <w:szCs w:val="32"/>
          <w:lang w:val="en-US" w:eastAsia="zh-CN"/>
        </w:rPr>
        <w:t>2.</w:t>
      </w:r>
      <w:r>
        <w:rPr>
          <w:rFonts w:hint="eastAsia" w:ascii="仿宋_GB2312" w:hAnsi="仿宋_GB2312" w:eastAsia="仿宋_GB2312" w:cs="仿宋_GB2312"/>
          <w:b/>
          <w:szCs w:val="32"/>
        </w:rPr>
        <w:t>适用对象：</w:t>
      </w:r>
      <w:r>
        <w:rPr>
          <w:rFonts w:hint="eastAsia" w:ascii="仿宋_GB2312" w:hAnsi="仿宋_GB2312" w:eastAsia="仿宋_GB2312" w:cs="仿宋_GB2312"/>
          <w:szCs w:val="32"/>
        </w:rPr>
        <w:t>企业需符合国家法律法规、产业政策和环境保护要求，经工商行政管理部门核准登记，实际经营期限不低于6个月；符合省级主管部门认定的国家及省高新技术企业、科技型中小企业、省科技小巨人企业、“专精特新”中小企业、专精特新“小巨人”企业、获得“科技进步奖”、专利权、省级科技计划项目立项的企业、省级新型研发机构（企业类）；在当地有固定的经营场所，产权关系明晰；有稳定的盈利模式，具备一定资产实力，具有清偿贷款本息的能力；企业及法人（实控人）当前无不良信用记录且无明显影响企业合规经营的违法行为（包括但不限于工商、税务、物价行政处罚等）。</w:t>
      </w:r>
      <w:bookmarkEnd w:id="95"/>
      <w:bookmarkEnd w:id="96"/>
      <w:bookmarkEnd w:id="97"/>
      <w:bookmarkEnd w:id="98"/>
      <w:bookmarkEnd w:id="99"/>
      <w:bookmarkEnd w:id="100"/>
      <w:bookmarkEnd w:id="101"/>
      <w:bookmarkEnd w:id="102"/>
      <w:bookmarkEnd w:id="103"/>
    </w:p>
    <w:p>
      <w:pPr>
        <w:spacing w:line="600" w:lineRule="exact"/>
        <w:ind w:firstLine="642" w:firstLineChars="200"/>
        <w:outlineLvl w:val="0"/>
        <w:rPr>
          <w:rFonts w:ascii="仿宋_GB2312" w:hAnsi="仿宋_GB2312" w:eastAsia="仿宋_GB2312" w:cs="仿宋_GB2312"/>
          <w:b/>
          <w:bCs/>
          <w:szCs w:val="32"/>
        </w:rPr>
      </w:pPr>
      <w:bookmarkStart w:id="104" w:name="_Toc11359"/>
      <w:bookmarkStart w:id="105" w:name="_Toc911486511"/>
      <w:bookmarkStart w:id="106" w:name="_Toc15295"/>
      <w:bookmarkStart w:id="107" w:name="_Toc6096"/>
      <w:bookmarkStart w:id="108" w:name="_Toc21101"/>
      <w:bookmarkStart w:id="109" w:name="_Toc1720313963"/>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贷款期限：</w:t>
      </w:r>
      <w:r>
        <w:rPr>
          <w:rFonts w:hint="eastAsia" w:ascii="仿宋_GB2312" w:hAnsi="仿宋_GB2312" w:eastAsia="仿宋_GB2312" w:cs="仿宋_GB2312"/>
          <w:szCs w:val="32"/>
        </w:rPr>
        <w:t>1年，支持无还本续贷</w:t>
      </w:r>
      <w:bookmarkEnd w:id="104"/>
      <w:bookmarkEnd w:id="105"/>
      <w:bookmarkEnd w:id="106"/>
      <w:bookmarkEnd w:id="107"/>
      <w:r>
        <w:rPr>
          <w:rFonts w:hint="eastAsia" w:ascii="仿宋_GB2312" w:hAnsi="仿宋_GB2312" w:eastAsia="仿宋_GB2312" w:cs="仿宋_GB2312"/>
          <w:szCs w:val="32"/>
        </w:rPr>
        <w:t>。</w:t>
      </w:r>
      <w:bookmarkEnd w:id="108"/>
      <w:bookmarkEnd w:id="109"/>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授信额度：</w:t>
      </w:r>
      <w:r>
        <w:rPr>
          <w:rFonts w:hint="eastAsia" w:ascii="仿宋_GB2312" w:hAnsi="仿宋_GB2312" w:eastAsia="仿宋_GB2312" w:cs="仿宋_GB2312"/>
          <w:szCs w:val="32"/>
        </w:rPr>
        <w:t>1000万元。</w:t>
      </w:r>
    </w:p>
    <w:p>
      <w:pPr>
        <w:spacing w:line="600" w:lineRule="exact"/>
        <w:ind w:firstLine="642" w:firstLineChars="200"/>
      </w:pPr>
      <w:r>
        <w:rPr>
          <w:rFonts w:hint="eastAsia" w:ascii="仿宋_GB2312" w:hAnsi="仿宋_GB2312" w:eastAsia="仿宋_GB2312" w:cs="仿宋_GB2312"/>
          <w:b/>
          <w:szCs w:val="32"/>
          <w:lang w:val="en-US" w:eastAsia="zh-CN"/>
        </w:rPr>
        <w:t>5.</w:t>
      </w:r>
      <w:r>
        <w:rPr>
          <w:rFonts w:hint="eastAsia" w:ascii="仿宋_GB2312" w:hAnsi="仿宋_GB2312" w:eastAsia="仿宋_GB2312" w:cs="仿宋_GB2312"/>
          <w:b/>
          <w:szCs w:val="32"/>
        </w:rPr>
        <w:t>担保方式：</w:t>
      </w:r>
      <w:r>
        <w:rPr>
          <w:rFonts w:hint="eastAsia" w:ascii="仿宋_GB2312" w:hAnsi="仿宋_GB2312" w:eastAsia="仿宋_GB2312" w:cs="仿宋_GB2312"/>
          <w:szCs w:val="32"/>
        </w:rPr>
        <w:t>抵押、保证、知识产权质押等。</w:t>
      </w:r>
    </w:p>
    <w:p>
      <w:pPr>
        <w:spacing w:line="600" w:lineRule="exact"/>
        <w:jc w:val="center"/>
        <w:rPr>
          <w:rFonts w:ascii="方正小标宋简体" w:hAnsi="方正小标宋简体" w:eastAsia="方正小标宋简体" w:cs="方正小标宋简体"/>
          <w:sz w:val="44"/>
          <w:szCs w:val="44"/>
        </w:rPr>
      </w:pPr>
    </w:p>
    <w:p>
      <w:pPr>
        <w:pStyle w:val="7"/>
        <w:ind w:firstLine="720"/>
        <w:outlineLvl w:val="0"/>
        <w:rPr>
          <w:rFonts w:hint="default"/>
          <w:sz w:val="36"/>
          <w:szCs w:val="36"/>
        </w:rPr>
      </w:pPr>
      <w:bookmarkStart w:id="110" w:name="_Toc12940"/>
      <w:bookmarkStart w:id="111" w:name="_Toc20032"/>
      <w:bookmarkStart w:id="112" w:name="_Toc1603744200"/>
      <w:r>
        <w:rPr>
          <w:sz w:val="36"/>
          <w:szCs w:val="36"/>
        </w:rPr>
        <w:t>五、厦门银行“专精特新”企业专属金融产品</w:t>
      </w:r>
      <w:bookmarkEnd w:id="110"/>
      <w:bookmarkEnd w:id="111"/>
      <w:bookmarkEnd w:id="112"/>
    </w:p>
    <w:p>
      <w:pPr>
        <w:spacing w:line="600" w:lineRule="exact"/>
        <w:ind w:firstLine="642" w:firstLineChars="200"/>
        <w:jc w:val="left"/>
        <w:rPr>
          <w:rFonts w:ascii="楷体" w:hAnsi="楷体" w:eastAsia="楷体" w:cs="楷体"/>
          <w:b/>
          <w:bCs/>
          <w:szCs w:val="32"/>
        </w:rPr>
      </w:pPr>
    </w:p>
    <w:p>
      <w:pPr>
        <w:spacing w:line="600" w:lineRule="exact"/>
        <w:ind w:firstLine="642" w:firstLineChars="200"/>
        <w:jc w:val="left"/>
        <w:rPr>
          <w:rFonts w:ascii="楷体" w:hAnsi="楷体" w:eastAsia="楷体" w:cs="楷体"/>
          <w:b/>
          <w:bCs/>
          <w:szCs w:val="32"/>
        </w:rPr>
      </w:pPr>
      <w:r>
        <w:rPr>
          <w:rFonts w:hint="eastAsia" w:ascii="楷体" w:hAnsi="楷体" w:eastAsia="楷体" w:cs="楷体"/>
          <w:b/>
          <w:bCs/>
          <w:szCs w:val="32"/>
        </w:rPr>
        <w:t>（一）“高新贷”</w:t>
      </w:r>
    </w:p>
    <w:p>
      <w:pPr>
        <w:spacing w:line="600" w:lineRule="exact"/>
        <w:ind w:firstLine="642" w:firstLineChars="200"/>
        <w:jc w:val="left"/>
        <w:rPr>
          <w:rFonts w:ascii="仿宋" w:hAnsi="仿宋" w:eastAsia="仿宋" w:cs="仿宋"/>
          <w:szCs w:val="32"/>
        </w:rPr>
      </w:pPr>
      <w:r>
        <w:rPr>
          <w:rFonts w:hint="eastAsia" w:ascii="仿宋_GB2312" w:hAnsi="仿宋_GB2312" w:eastAsia="仿宋_GB2312" w:cs="仿宋_GB2312"/>
          <w:b/>
          <w:szCs w:val="32"/>
          <w:lang w:val="en-US" w:eastAsia="zh-CN"/>
        </w:rPr>
        <w:t>1.</w:t>
      </w:r>
      <w:r>
        <w:rPr>
          <w:rFonts w:hint="eastAsia" w:ascii="仿宋_GB2312" w:hAnsi="仿宋_GB2312" w:eastAsia="仿宋_GB2312" w:cs="仿宋_GB2312"/>
          <w:b/>
          <w:szCs w:val="32"/>
        </w:rPr>
        <w:t>产品简介：</w:t>
      </w:r>
      <w:r>
        <w:rPr>
          <w:rFonts w:hint="eastAsia" w:ascii="仿宋_GB2312" w:hAnsi="仿宋_GB2312" w:eastAsia="仿宋_GB2312" w:cs="仿宋_GB2312"/>
          <w:szCs w:val="32"/>
        </w:rPr>
        <w:t>“高新贷”是厦门银行专门针对“专精特新”名单企业提供信贷支持的客群专案。包括流动资金贷款、银行承兑汇票、信用证等表内外授信品种。</w:t>
      </w:r>
    </w:p>
    <w:p>
      <w:pPr>
        <w:spacing w:line="600" w:lineRule="exact"/>
        <w:ind w:firstLine="642" w:firstLineChars="200"/>
        <w:jc w:val="left"/>
        <w:outlineLvl w:val="0"/>
      </w:pPr>
      <w:bookmarkStart w:id="113" w:name="_Toc12252"/>
      <w:bookmarkStart w:id="114" w:name="_Toc20397"/>
      <w:bookmarkStart w:id="115" w:name="_Toc471998507"/>
      <w:bookmarkStart w:id="116" w:name="_Toc4309"/>
      <w:bookmarkStart w:id="117" w:name="_Toc3317"/>
      <w:bookmarkStart w:id="118" w:name="_Toc1448788691"/>
      <w:r>
        <w:rPr>
          <w:rFonts w:hint="eastAsia" w:ascii="仿宋_GB2312" w:hAnsi="仿宋_GB2312" w:eastAsia="仿宋_GB2312" w:cs="仿宋_GB2312"/>
          <w:b/>
          <w:szCs w:val="32"/>
          <w:lang w:val="en-US" w:eastAsia="zh-CN"/>
        </w:rPr>
        <w:t>2.</w:t>
      </w:r>
      <w:r>
        <w:rPr>
          <w:rFonts w:hint="eastAsia" w:ascii="仿宋_GB2312" w:hAnsi="仿宋_GB2312" w:eastAsia="仿宋_GB2312" w:cs="仿宋_GB2312"/>
          <w:b/>
          <w:szCs w:val="32"/>
        </w:rPr>
        <w:t>适用对象：</w:t>
      </w:r>
      <w:r>
        <w:rPr>
          <w:rFonts w:hint="eastAsia" w:ascii="仿宋_GB2312" w:hAnsi="仿宋_GB2312" w:eastAsia="仿宋_GB2312" w:cs="仿宋_GB2312"/>
          <w:szCs w:val="32"/>
        </w:rPr>
        <w:t>“专精特新”名单企业</w:t>
      </w:r>
      <w:bookmarkEnd w:id="113"/>
      <w:bookmarkEnd w:id="114"/>
      <w:bookmarkEnd w:id="115"/>
      <w:bookmarkEnd w:id="116"/>
      <w:r>
        <w:rPr>
          <w:rFonts w:hint="eastAsia" w:ascii="仿宋_GB2312" w:hAnsi="仿宋_GB2312" w:eastAsia="仿宋_GB2312" w:cs="仿宋_GB2312"/>
          <w:szCs w:val="32"/>
        </w:rPr>
        <w:t>。</w:t>
      </w:r>
      <w:bookmarkEnd w:id="117"/>
      <w:bookmarkEnd w:id="118"/>
    </w:p>
    <w:p>
      <w:pPr>
        <w:spacing w:line="600" w:lineRule="exact"/>
        <w:ind w:firstLine="642" w:firstLineChars="200"/>
        <w:jc w:val="left"/>
        <w:rPr>
          <w:rFonts w:ascii="仿宋" w:hAnsi="仿宋" w:eastAsia="仿宋" w:cs="仿宋"/>
          <w:szCs w:val="32"/>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贷款期限：</w:t>
      </w:r>
      <w:r>
        <w:rPr>
          <w:rFonts w:hint="eastAsia" w:ascii="仿宋_GB2312" w:hAnsi="仿宋_GB2312" w:eastAsia="仿宋_GB2312" w:cs="仿宋_GB2312"/>
          <w:szCs w:val="32"/>
        </w:rPr>
        <w:t>授信额度有效期最长3年（含），单笔期限1-3年，贷款到期可承做无还本续贷，降低融资成本。</w:t>
      </w:r>
    </w:p>
    <w:p>
      <w:pPr>
        <w:spacing w:line="600" w:lineRule="exact"/>
        <w:ind w:firstLine="642" w:firstLineChars="200"/>
        <w:jc w:val="left"/>
        <w:rPr>
          <w:rFonts w:ascii="仿宋" w:hAnsi="仿宋" w:eastAsia="仿宋" w:cs="仿宋"/>
          <w:szCs w:val="32"/>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还款方式：</w:t>
      </w:r>
      <w:r>
        <w:rPr>
          <w:rFonts w:hint="eastAsia" w:ascii="仿宋_GB2312" w:hAnsi="仿宋_GB2312" w:eastAsia="仿宋_GB2312" w:cs="仿宋_GB2312"/>
          <w:szCs w:val="32"/>
        </w:rPr>
        <w:t>可按期付息、到期还本，也可利随本清。</w:t>
      </w:r>
    </w:p>
    <w:p>
      <w:pPr>
        <w:spacing w:line="600" w:lineRule="exact"/>
        <w:ind w:firstLine="642" w:firstLineChars="200"/>
        <w:jc w:val="left"/>
        <w:rPr>
          <w:rFonts w:hint="eastAsia" w:ascii="仿宋_GB2312" w:hAnsi="仿宋_GB2312" w:eastAsia="仿宋_GB2312" w:cs="仿宋_GB2312"/>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业务流程：</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1</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贷款受理和贷前调查：企业主向我行经办团队或支行提交产品贷款申请，客户经理依据具体情况完成贷前调查等相关手续。</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2</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贷中审查审批：审查人员根据客户经理贷前调查报告及调查资料进行尽职情况审查，对审查通过的贷款出具审查意见提交有权审批人签署。以上产品，若无特殊情况，均在分行审批权限内。</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3</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贷款发放：贷</w:t>
      </w:r>
      <w:r>
        <w:rPr>
          <w:rFonts w:hint="eastAsia" w:ascii="仿宋_GB2312" w:hAnsi="仿宋_GB2312" w:eastAsia="仿宋_GB2312" w:cs="仿宋_GB2312"/>
          <w:szCs w:val="32"/>
        </w:rPr>
        <w:t>款审批通过后，经办团队或支行与企业签订借款合同，开立贷款账户，办妥贷款相关核保手续，发放贷款。</w:t>
      </w:r>
    </w:p>
    <w:p>
      <w:pPr>
        <w:pStyle w:val="2"/>
        <w:rPr>
          <w:rFonts w:hint="eastAsia" w:ascii="仿宋_GB2312" w:hAnsi="仿宋_GB2312" w:eastAsia="仿宋_GB2312" w:cs="仿宋_GB2312"/>
          <w:szCs w:val="32"/>
        </w:rPr>
      </w:pPr>
    </w:p>
    <w:p>
      <w:pPr>
        <w:pStyle w:val="4"/>
      </w:pPr>
    </w:p>
    <w:p>
      <w:pPr>
        <w:pStyle w:val="7"/>
        <w:ind w:firstLine="720"/>
        <w:outlineLvl w:val="0"/>
        <w:rPr>
          <w:rFonts w:hint="default"/>
          <w:sz w:val="36"/>
          <w:szCs w:val="36"/>
        </w:rPr>
      </w:pPr>
      <w:bookmarkStart w:id="119" w:name="_Toc143088052"/>
      <w:bookmarkStart w:id="120" w:name="_Toc1015200608"/>
      <w:r>
        <w:rPr>
          <w:rFonts w:hint="eastAsia"/>
          <w:sz w:val="36"/>
          <w:szCs w:val="36"/>
          <w:lang w:val="en-US" w:eastAsia="zh-CN"/>
        </w:rPr>
        <w:t>六</w:t>
      </w:r>
      <w:r>
        <w:rPr>
          <w:sz w:val="36"/>
          <w:szCs w:val="36"/>
        </w:rPr>
        <w:t>、厦门国际银行“专精特新”企业专属金融产品</w:t>
      </w:r>
      <w:bookmarkEnd w:id="119"/>
      <w:bookmarkEnd w:id="120"/>
    </w:p>
    <w:p>
      <w:pPr>
        <w:tabs>
          <w:tab w:val="left" w:pos="210"/>
        </w:tabs>
        <w:spacing w:line="600" w:lineRule="exact"/>
        <w:ind w:firstLine="640" w:firstLineChars="200"/>
        <w:rPr>
          <w:rFonts w:ascii="楷体" w:hAnsi="楷体" w:eastAsia="楷体" w:cs="楷体"/>
          <w:bCs/>
          <w:szCs w:val="32"/>
        </w:rPr>
      </w:pPr>
    </w:p>
    <w:p>
      <w:pPr>
        <w:tabs>
          <w:tab w:val="left" w:pos="210"/>
        </w:tabs>
        <w:spacing w:line="600" w:lineRule="exact"/>
        <w:ind w:firstLine="640" w:firstLineChars="200"/>
        <w:outlineLvl w:val="0"/>
        <w:rPr>
          <w:rFonts w:ascii="楷体" w:hAnsi="楷体" w:eastAsia="楷体" w:cs="楷体"/>
          <w:b/>
          <w:szCs w:val="32"/>
        </w:rPr>
      </w:pPr>
      <w:bookmarkStart w:id="121" w:name="_Toc25450"/>
      <w:bookmarkStart w:id="122" w:name="_Toc143088053"/>
      <w:bookmarkStart w:id="123" w:name="_Toc1479913079"/>
      <w:r>
        <w:rPr>
          <w:rFonts w:hint="eastAsia" w:ascii="楷体" w:hAnsi="楷体" w:eastAsia="楷体" w:cs="楷体"/>
          <w:bCs/>
          <w:szCs w:val="32"/>
        </w:rPr>
        <w:t>（一）</w:t>
      </w:r>
      <w:r>
        <w:rPr>
          <w:rFonts w:hint="eastAsia" w:ascii="楷体" w:hAnsi="楷体" w:eastAsia="楷体" w:cs="楷体"/>
          <w:b/>
          <w:szCs w:val="32"/>
        </w:rPr>
        <w:t>“专精特新”企业专项营销方案</w:t>
      </w:r>
      <w:bookmarkEnd w:id="121"/>
      <w:bookmarkEnd w:id="122"/>
      <w:bookmarkEnd w:id="123"/>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bCs/>
          <w:szCs w:val="32"/>
        </w:rPr>
        <w:t>厦门国际银行</w:t>
      </w:r>
      <w:r>
        <w:rPr>
          <w:rFonts w:hint="eastAsia" w:ascii="仿宋_GB2312" w:hAnsi="仿宋_GB2312" w:eastAsia="仿宋_GB2312" w:cs="仿宋_GB2312"/>
          <w:kern w:val="0"/>
          <w:szCs w:val="32"/>
        </w:rPr>
        <w:t>为有效支持福建省“专精特新” 企业高质量发展，打造高新技术产业发展标杆，特订立“专精特新”企业专项营销方案。</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广义范围上具有政府资质认定的科技类企业或其他符合要求的企业，具体资质包括“专精特新（包括国家级小巨人、省市级中小企业）”、“高新技术（包括国家级、省级、市级）”资质。</w:t>
      </w:r>
    </w:p>
    <w:p>
      <w:pPr>
        <w:spacing w:line="600" w:lineRule="exact"/>
        <w:ind w:firstLine="642" w:firstLineChars="200"/>
        <w:rPr>
          <w:rFonts w:hint="eastAsia"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授信额度：</w:t>
      </w:r>
      <w:r>
        <w:rPr>
          <w:rFonts w:hint="eastAsia" w:ascii="仿宋_GB2312" w:hAnsi="仿宋_GB2312" w:eastAsia="仿宋_GB2312" w:cs="仿宋_GB2312"/>
          <w:kern w:val="0"/>
          <w:szCs w:val="32"/>
        </w:rPr>
        <w:t>最高可达</w:t>
      </w:r>
      <w:r>
        <w:rPr>
          <w:rFonts w:ascii="仿宋_GB2312" w:hAnsi="仿宋_GB2312" w:eastAsia="仿宋_GB2312" w:cs="仿宋_GB2312"/>
          <w:kern w:val="0"/>
          <w:szCs w:val="32"/>
        </w:rPr>
        <w:t>3</w:t>
      </w:r>
      <w:r>
        <w:rPr>
          <w:rFonts w:hint="eastAsia" w:ascii="仿宋_GB2312" w:hAnsi="仿宋_GB2312" w:eastAsia="仿宋_GB2312" w:cs="仿宋_GB2312"/>
          <w:kern w:val="0"/>
          <w:szCs w:val="32"/>
        </w:rPr>
        <w:t>000万元，具体结合“专精特新”企业级别、“上年度研发费用支出总额”、“上年度缴纳增值税金额”、“近两年净利润平均值”、“上一年度营业收入”进行综合判定。对于拥有I类自主研发知识产权或I类高价值知识产权的企业可加大支持力度。</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授信期限：</w:t>
      </w:r>
      <w:r>
        <w:rPr>
          <w:rFonts w:hint="eastAsia" w:ascii="仿宋_GB2312" w:hAnsi="仿宋_GB2312" w:eastAsia="仿宋_GB2312" w:cs="仿宋_GB2312"/>
          <w:kern w:val="0"/>
          <w:szCs w:val="32"/>
        </w:rPr>
        <w:t>根据客户实际贷款用途资金需求设计，单笔提款期限最长3年。</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担保模式：</w:t>
      </w:r>
      <w:r>
        <w:rPr>
          <w:rFonts w:hint="eastAsia" w:ascii="仿宋_GB2312" w:hAnsi="仿宋_GB2312" w:eastAsia="仿宋_GB2312" w:cs="仿宋_GB2312"/>
          <w:bCs/>
          <w:szCs w:val="32"/>
        </w:rPr>
        <w:t>支持</w:t>
      </w:r>
      <w:r>
        <w:rPr>
          <w:rFonts w:hint="eastAsia" w:ascii="仿宋_GB2312" w:hAnsi="仿宋_GB2312" w:eastAsia="仿宋_GB2312" w:cs="仿宋_GB2312"/>
          <w:kern w:val="0"/>
          <w:szCs w:val="32"/>
        </w:rPr>
        <w:t>信用免担保、知识产权质押、不动产抵押等多种方式。</w:t>
      </w:r>
    </w:p>
    <w:p>
      <w:pPr>
        <w:pStyle w:val="2"/>
        <w:ind w:left="0" w:leftChars="0" w:firstLine="0" w:firstLineChars="0"/>
      </w:pPr>
    </w:p>
    <w:p>
      <w:pPr>
        <w:pStyle w:val="7"/>
        <w:ind w:firstLine="720"/>
        <w:outlineLvl w:val="0"/>
        <w:rPr>
          <w:rFonts w:hint="default"/>
          <w:sz w:val="36"/>
          <w:szCs w:val="36"/>
        </w:rPr>
      </w:pPr>
      <w:bookmarkStart w:id="124" w:name="_Toc10906"/>
      <w:bookmarkStart w:id="125" w:name="_Toc16770"/>
      <w:bookmarkStart w:id="126" w:name="_Toc2070026302"/>
      <w:r>
        <w:rPr>
          <w:rFonts w:hint="eastAsia"/>
          <w:sz w:val="36"/>
          <w:szCs w:val="36"/>
          <w:lang w:val="en-US" w:eastAsia="zh-CN"/>
        </w:rPr>
        <w:t>七</w:t>
      </w:r>
      <w:r>
        <w:rPr>
          <w:sz w:val="36"/>
          <w:szCs w:val="36"/>
        </w:rPr>
        <w:t>、工商银行“专精特新”企业专属金融产品</w:t>
      </w:r>
      <w:bookmarkEnd w:id="124"/>
      <w:bookmarkEnd w:id="125"/>
      <w:bookmarkEnd w:id="126"/>
    </w:p>
    <w:p>
      <w:pPr>
        <w:spacing w:line="600" w:lineRule="exact"/>
        <w:rPr>
          <w:color w:val="0000FF"/>
          <w:szCs w:val="32"/>
        </w:rPr>
      </w:pPr>
      <w:r>
        <w:rPr>
          <w:rFonts w:hint="eastAsia"/>
          <w:color w:val="0000FF"/>
          <w:szCs w:val="32"/>
        </w:rPr>
        <w:t xml:space="preserve"> </w:t>
      </w:r>
    </w:p>
    <w:p>
      <w:pPr>
        <w:pStyle w:val="2"/>
        <w:spacing w:before="0" w:beforeAutospacing="0" w:after="0" w:line="600" w:lineRule="exact"/>
        <w:ind w:left="0" w:leftChars="0" w:firstLine="643"/>
        <w:rPr>
          <w:rFonts w:ascii="楷体" w:hAnsi="楷体" w:eastAsia="楷体" w:cs="楷体"/>
        </w:rPr>
      </w:pPr>
      <w:r>
        <w:rPr>
          <w:rFonts w:hint="eastAsia" w:ascii="楷体" w:hAnsi="楷体" w:eastAsia="楷体" w:cs="楷体"/>
          <w:b/>
          <w:bCs/>
          <w:szCs w:val="32"/>
        </w:rPr>
        <w:t>（一）“科创贷”</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“科创贷”是工商银行针对科技型小微企业推出的线上、随借随还的便捷融资服务。</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szCs w:val="32"/>
        </w:rPr>
        <w:t>在省内（不含厦门市）依法设立、依法纳税、具有独立法人资格的科技型企业，包括：高新技术企业、科技小巨人企业、“专精特新”企业、获得“科技进步奖”或省级科技计划项目立项的企业、省级新型研发机构（企业类）等。</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授信额度：</w:t>
      </w:r>
      <w:r>
        <w:rPr>
          <w:rFonts w:hint="eastAsia" w:ascii="仿宋_GB2312" w:hAnsi="仿宋_GB2312" w:eastAsia="仿宋_GB2312" w:cs="仿宋_GB2312"/>
          <w:szCs w:val="32"/>
        </w:rPr>
        <w:t>最高1000万元。</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担保模式：</w:t>
      </w:r>
      <w:r>
        <w:rPr>
          <w:rFonts w:hint="eastAsia" w:ascii="仿宋_GB2312" w:hAnsi="仿宋_GB2312" w:eastAsia="仿宋_GB2312" w:cs="仿宋_GB2312"/>
          <w:szCs w:val="32"/>
        </w:rPr>
        <w:t>100万元以内采用信用方式办理，100万元以上提供覆盖贷款本金50%的抵质押担保。</w:t>
      </w: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ind w:firstLine="640" w:firstLineChars="200"/>
        <w:rPr>
          <w:rFonts w:ascii="黑体" w:hAnsi="黑体" w:eastAsia="黑体" w:cs="黑体"/>
        </w:rPr>
      </w:pPr>
    </w:p>
    <w:p>
      <w:pPr>
        <w:pStyle w:val="4"/>
        <w:spacing w:line="600" w:lineRule="exact"/>
        <w:rPr>
          <w:rFonts w:ascii="黑体" w:hAnsi="黑体" w:eastAsia="黑体" w:cs="黑体"/>
        </w:rPr>
      </w:pPr>
    </w:p>
    <w:p>
      <w:pPr>
        <w:pStyle w:val="7"/>
        <w:ind w:firstLine="720"/>
        <w:outlineLvl w:val="0"/>
        <w:rPr>
          <w:rFonts w:hint="default"/>
          <w:sz w:val="36"/>
          <w:szCs w:val="36"/>
        </w:rPr>
      </w:pPr>
      <w:bookmarkStart w:id="127" w:name="_Toc7368"/>
      <w:bookmarkStart w:id="128" w:name="_Toc453088054"/>
      <w:bookmarkStart w:id="129" w:name="_Toc2760"/>
      <w:r>
        <w:rPr>
          <w:rFonts w:hint="eastAsia"/>
          <w:sz w:val="36"/>
          <w:szCs w:val="36"/>
          <w:lang w:val="en-US" w:eastAsia="zh-CN"/>
        </w:rPr>
        <w:t>八</w:t>
      </w:r>
      <w:r>
        <w:rPr>
          <w:sz w:val="36"/>
          <w:szCs w:val="36"/>
        </w:rPr>
        <w:t>、农业银行“专精特新”企业专属金融产品</w:t>
      </w:r>
      <w:bookmarkEnd w:id="127"/>
      <w:bookmarkEnd w:id="128"/>
    </w:p>
    <w:p>
      <w:pPr>
        <w:spacing w:line="600" w:lineRule="exact"/>
        <w:jc w:val="left"/>
        <w:rPr>
          <w:rFonts w:ascii="仿宋_GB2312" w:eastAsia="仿宋_GB2312"/>
        </w:rPr>
      </w:pPr>
    </w:p>
    <w:p>
      <w:pPr>
        <w:spacing w:line="600" w:lineRule="exact"/>
        <w:ind w:firstLine="642" w:firstLineChars="200"/>
        <w:jc w:val="left"/>
        <w:rPr>
          <w:rFonts w:ascii="楷体" w:hAnsi="楷体" w:eastAsia="楷体" w:cs="楷体"/>
          <w:b/>
          <w:bCs/>
        </w:rPr>
      </w:pPr>
      <w:r>
        <w:rPr>
          <w:rFonts w:hint="eastAsia" w:ascii="楷体" w:hAnsi="楷体" w:eastAsia="楷体" w:cs="楷体"/>
          <w:b/>
          <w:bCs/>
        </w:rPr>
        <w:t>（一）专精特新小巨人贷</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“专精特新小巨人贷”业务是指本行各机构为“小巨人”企业办理的用于其日常生产经营周转和固定资产投资的本外币信贷业务。具有适用范围明确、担保方式灵活，贷款用途广泛等特点。</w:t>
      </w:r>
    </w:p>
    <w:p>
      <w:pPr>
        <w:spacing w:line="600" w:lineRule="exact"/>
        <w:ind w:firstLine="642" w:firstLineChars="200"/>
        <w:jc w:val="left"/>
        <w:rPr>
          <w:rFonts w:ascii="仿宋_GB2312" w:eastAsia="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szCs w:val="32"/>
        </w:rPr>
        <w:t>国家级“小巨人”企业、工业和信息化部“小巨人”名单内企业、省级专精特新中小企业等；企业信用评级在BBB-级（含）以上；借款人及其法定代表人（负责人）、主要投资人、实际控制人、关键管理人员无不良信用记录等。</w:t>
      </w:r>
    </w:p>
    <w:p>
      <w:pPr>
        <w:spacing w:line="600" w:lineRule="exact"/>
        <w:ind w:firstLine="642" w:firstLineChars="200"/>
        <w:jc w:val="left"/>
        <w:rPr>
          <w:rFonts w:ascii="仿宋_GB2312" w:eastAsia="仿宋_GB231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ascii="仿宋_GB2312" w:eastAsia="仿宋_GB2312"/>
        </w:rPr>
        <w:t>期限最</w:t>
      </w:r>
      <w:r>
        <w:rPr>
          <w:rFonts w:hint="eastAsia" w:ascii="仿宋_GB2312" w:eastAsia="仿宋_GB2312"/>
        </w:rPr>
        <w:t>高</w:t>
      </w:r>
      <w:r>
        <w:rPr>
          <w:rFonts w:ascii="仿宋_GB2312" w:eastAsia="仿宋_GB2312"/>
        </w:rPr>
        <w:t>达</w:t>
      </w:r>
      <w:r>
        <w:rPr>
          <w:rFonts w:hint="eastAsia" w:ascii="仿宋_GB2312" w:eastAsia="仿宋_GB2312"/>
        </w:rPr>
        <w:t>20年+建设期。</w:t>
      </w:r>
    </w:p>
    <w:p>
      <w:pPr>
        <w:spacing w:line="600" w:lineRule="exact"/>
        <w:ind w:firstLine="642" w:firstLineChars="200"/>
        <w:jc w:val="left"/>
        <w:rPr>
          <w:rFonts w:ascii="仿宋_GB2312" w:eastAsia="仿宋_GB231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授信额度：</w:t>
      </w:r>
      <w:r>
        <w:rPr>
          <w:rFonts w:hint="eastAsia" w:ascii="仿宋_GB2312" w:eastAsia="仿宋_GB2312"/>
        </w:rPr>
        <w:t>可根据企业生产经营规模及需求匹配</w:t>
      </w:r>
      <w:r>
        <w:rPr>
          <w:rFonts w:ascii="仿宋_GB2312" w:eastAsia="仿宋_GB2312"/>
        </w:rPr>
        <w:t>。</w:t>
      </w:r>
    </w:p>
    <w:p>
      <w:pPr>
        <w:spacing w:line="600" w:lineRule="exact"/>
        <w:ind w:firstLine="642" w:firstLineChars="200"/>
        <w:jc w:val="left"/>
        <w:rPr>
          <w:rFonts w:ascii="仿宋_GB2312" w:eastAsia="仿宋_GB231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担保方式：</w:t>
      </w:r>
      <w:r>
        <w:rPr>
          <w:rFonts w:hint="eastAsia" w:ascii="仿宋_GB2312" w:eastAsia="仿宋_GB2312"/>
        </w:rPr>
        <w:t>可用信用方式、保证方式、抵押方式和质押方式，各类担保方式可以以单一担保、组合担保等形式使用。</w:t>
      </w: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pStyle w:val="2"/>
        <w:ind w:left="0" w:leftChars="0" w:firstLine="0" w:firstLineChars="0"/>
      </w:pPr>
    </w:p>
    <w:p>
      <w:pPr>
        <w:pStyle w:val="7"/>
        <w:ind w:firstLine="720"/>
        <w:outlineLvl w:val="0"/>
        <w:rPr>
          <w:rFonts w:hint="default"/>
          <w:sz w:val="36"/>
          <w:szCs w:val="36"/>
        </w:rPr>
      </w:pPr>
      <w:bookmarkStart w:id="130" w:name="_Toc311737761"/>
      <w:bookmarkStart w:id="131" w:name="_Toc4947"/>
      <w:r>
        <w:rPr>
          <w:rFonts w:hint="eastAsia"/>
          <w:sz w:val="36"/>
          <w:szCs w:val="36"/>
          <w:lang w:val="en-US" w:eastAsia="zh-CN"/>
        </w:rPr>
        <w:t>九</w:t>
      </w:r>
      <w:r>
        <w:rPr>
          <w:sz w:val="36"/>
          <w:szCs w:val="36"/>
        </w:rPr>
        <w:t>、中国银行“专精特新”企业专属金融产品</w:t>
      </w:r>
      <w:bookmarkEnd w:id="129"/>
      <w:bookmarkEnd w:id="130"/>
      <w:bookmarkEnd w:id="131"/>
    </w:p>
    <w:p>
      <w:pPr>
        <w:pStyle w:val="4"/>
        <w:spacing w:line="600" w:lineRule="exact"/>
        <w:ind w:firstLine="640" w:firstLineChars="200"/>
        <w:rPr>
          <w:rFonts w:ascii="黑体" w:hAnsi="黑体" w:eastAsia="黑体" w:cs="黑体"/>
        </w:rPr>
      </w:pPr>
    </w:p>
    <w:p>
      <w:pPr>
        <w:pStyle w:val="2"/>
        <w:spacing w:before="0" w:beforeAutospacing="0" w:after="0" w:line="600" w:lineRule="exact"/>
        <w:ind w:left="0" w:leftChars="0" w:firstLine="643"/>
        <w:outlineLvl w:val="0"/>
        <w:rPr>
          <w:rFonts w:ascii="楷体" w:hAnsi="楷体" w:eastAsia="楷体" w:cs="楷体"/>
        </w:rPr>
      </w:pPr>
      <w:bookmarkStart w:id="132" w:name="_Toc1681"/>
      <w:bookmarkStart w:id="133" w:name="_Toc19381"/>
      <w:bookmarkStart w:id="134" w:name="_Toc466218858"/>
      <w:bookmarkStart w:id="135" w:name="_Toc14377"/>
      <w:bookmarkStart w:id="136" w:name="_Toc3991"/>
      <w:bookmarkStart w:id="137" w:name="_Toc17981"/>
      <w:bookmarkStart w:id="138" w:name="_Toc265968256"/>
      <w:bookmarkStart w:id="139" w:name="_Toc28587"/>
      <w:r>
        <w:rPr>
          <w:rFonts w:hint="eastAsia" w:ascii="楷体" w:hAnsi="楷体" w:eastAsia="楷体" w:cs="楷体"/>
          <w:b/>
          <w:bCs/>
          <w:szCs w:val="32"/>
        </w:rPr>
        <w:t>（一）“科创贷”</w:t>
      </w:r>
      <w:bookmarkEnd w:id="132"/>
      <w:bookmarkEnd w:id="133"/>
      <w:bookmarkEnd w:id="134"/>
      <w:bookmarkEnd w:id="135"/>
      <w:bookmarkEnd w:id="136"/>
      <w:bookmarkEnd w:id="137"/>
      <w:bookmarkEnd w:id="138"/>
      <w:bookmarkEnd w:id="139"/>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rPr>
        <w:t>“科创贷”是中国银行面向科创型国标小微企业的纯信用贷款。</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rPr>
        <w:t>获得国家或省级工信部门认定的“专精特新”称号的，且经工商行政管理机关核准登记的小微企业。</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rPr>
        <w:t>额度有效期最长1年。</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授信额度：</w:t>
      </w:r>
      <w:r>
        <w:rPr>
          <w:rFonts w:hint="eastAsia" w:ascii="仿宋_GB2312" w:hAnsi="仿宋_GB2312" w:eastAsia="仿宋_GB2312" w:cs="仿宋_GB2312"/>
        </w:rPr>
        <w:t>单户贷款额度最高500万元。</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还款方式：</w:t>
      </w:r>
      <w:r>
        <w:rPr>
          <w:rFonts w:hint="eastAsia" w:ascii="仿宋_GB2312" w:hAnsi="仿宋_GB2312" w:eastAsia="仿宋_GB2312" w:cs="仿宋_GB2312"/>
        </w:rPr>
        <w:t>随借随还，循环使用。</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业务流程：</w:t>
      </w:r>
      <w:r>
        <w:rPr>
          <w:rFonts w:hint="eastAsia" w:ascii="仿宋_GB2312" w:hAnsi="仿宋_GB2312" w:eastAsia="仿宋_GB2312" w:cs="仿宋_GB2312"/>
          <w:szCs w:val="32"/>
        </w:rPr>
        <w:t>线上发起贷款申请，自动</w:t>
      </w:r>
      <w:r>
        <w:rPr>
          <w:rFonts w:hint="eastAsia" w:ascii="仿宋_GB2312" w:hAnsi="仿宋_GB2312" w:eastAsia="仿宋_GB2312" w:cs="仿宋_GB2312"/>
        </w:rPr>
        <w:t>审</w:t>
      </w:r>
      <w:r>
        <w:rPr>
          <w:rFonts w:hint="eastAsia" w:ascii="仿宋_GB2312" w:hAnsi="仿宋_GB2312" w:eastAsia="仿宋_GB2312" w:cs="仿宋_GB2312"/>
          <w:szCs w:val="32"/>
        </w:rPr>
        <w:t>批额度；在线签署电子合同；按需线上自助提款，支持自助还款可随借随还。</w:t>
      </w:r>
    </w:p>
    <w:p>
      <w:pPr>
        <w:pStyle w:val="4"/>
        <w:spacing w:line="600" w:lineRule="exact"/>
        <w:rPr>
          <w:rFonts w:ascii="仿宋_GB2312" w:hAnsi="仿宋_GB2312" w:eastAsia="仿宋_GB2312" w:cs="仿宋_GB2312"/>
          <w:color w:val="0000FF"/>
        </w:rPr>
      </w:pPr>
    </w:p>
    <w:p>
      <w:pPr>
        <w:pStyle w:val="2"/>
        <w:spacing w:before="0" w:beforeAutospacing="0" w:after="0" w:line="600" w:lineRule="exact"/>
        <w:ind w:left="0" w:leftChars="0" w:firstLine="643"/>
        <w:outlineLvl w:val="0"/>
        <w:rPr>
          <w:rFonts w:ascii="楷体" w:hAnsi="楷体" w:eastAsia="楷体" w:cs="楷体"/>
        </w:rPr>
      </w:pPr>
      <w:bookmarkStart w:id="140" w:name="_Toc1546592475"/>
      <w:bookmarkStart w:id="141" w:name="_Toc23732"/>
      <w:bookmarkStart w:id="142" w:name="_Toc15523"/>
      <w:bookmarkStart w:id="143" w:name="_Toc6251"/>
      <w:bookmarkStart w:id="144" w:name="_Toc3281"/>
      <w:bookmarkStart w:id="145" w:name="_Toc936510896"/>
      <w:bookmarkStart w:id="146" w:name="_Toc26403"/>
      <w:bookmarkStart w:id="147" w:name="_Toc14525"/>
      <w:r>
        <w:rPr>
          <w:rFonts w:hint="eastAsia" w:ascii="楷体" w:hAnsi="楷体" w:eastAsia="楷体" w:cs="楷体"/>
          <w:b/>
          <w:bCs/>
          <w:szCs w:val="32"/>
        </w:rPr>
        <w:t>（二）“专精特新贷”</w:t>
      </w:r>
      <w:bookmarkEnd w:id="140"/>
      <w:bookmarkEnd w:id="141"/>
      <w:bookmarkEnd w:id="142"/>
      <w:bookmarkEnd w:id="143"/>
      <w:bookmarkEnd w:id="144"/>
      <w:bookmarkEnd w:id="145"/>
      <w:bookmarkEnd w:id="146"/>
      <w:bookmarkEnd w:id="147"/>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rPr>
        <w:t>“专精特新贷”是中国银行面向各类专精特新小微企业提供的专属贷款产品。该产品采用“技术流”评估体系，在核定信用额度时，为企业提供基本信用额度和附加信用额度 “双重增值”，在给予“专精特新”客户基本信用额度的前提下，结合企业在“融资、结算、薪资、人才、信保”等五个维度活性信息进行二次增额。</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rPr>
        <w:t>列入国家或省级工信部门认定的“专精特新”“创新型中小企业”名单中的小微企业。</w:t>
      </w:r>
    </w:p>
    <w:p>
      <w:pPr>
        <w:pStyle w:val="4"/>
        <w:spacing w:line="600" w:lineRule="exact"/>
        <w:ind w:firstLine="642" w:firstLineChars="200"/>
        <w:outlineLvl w:val="0"/>
        <w:rPr>
          <w:rFonts w:ascii="仿宋" w:hAnsi="仿宋" w:eastAsia="仿宋_GB2312" w:cs="仿宋"/>
        </w:rPr>
      </w:pPr>
      <w:bookmarkStart w:id="148" w:name="_Toc19957"/>
      <w:bookmarkStart w:id="149" w:name="_Toc1740390364"/>
      <w:bookmarkStart w:id="150" w:name="_Toc9843"/>
      <w:bookmarkStart w:id="151" w:name="_Toc3981"/>
      <w:bookmarkStart w:id="152" w:name="_Toc15125"/>
      <w:bookmarkStart w:id="153" w:name="_Toc1679884007"/>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rPr>
        <w:t>额度有效期最长10年</w:t>
      </w:r>
      <w:bookmarkEnd w:id="148"/>
      <w:bookmarkEnd w:id="149"/>
      <w:bookmarkEnd w:id="150"/>
      <w:bookmarkEnd w:id="151"/>
      <w:r>
        <w:rPr>
          <w:rFonts w:hint="eastAsia" w:ascii="仿宋_GB2312" w:hAnsi="仿宋_GB2312" w:eastAsia="仿宋_GB2312" w:cs="仿宋_GB2312"/>
        </w:rPr>
        <w:t>。</w:t>
      </w:r>
      <w:bookmarkEnd w:id="152"/>
      <w:bookmarkEnd w:id="153"/>
    </w:p>
    <w:p>
      <w:pPr>
        <w:pStyle w:val="4"/>
        <w:spacing w:line="600" w:lineRule="exact"/>
        <w:ind w:firstLine="642" w:firstLineChars="200"/>
        <w:rPr>
          <w:rFonts w:ascii="仿宋" w:hAnsi="仿宋" w:eastAsia="仿宋_GB2312" w:cs="仿宋"/>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rPr>
        <w:t>单户贷款额度最高3000万元。</w:t>
      </w:r>
    </w:p>
    <w:p>
      <w:pPr>
        <w:pStyle w:val="4"/>
        <w:spacing w:line="600" w:lineRule="exact"/>
        <w:ind w:left="640" w:leftChars="200"/>
        <w:rPr>
          <w:rFonts w:ascii="仿宋_GB2312" w:hAnsi="仿宋_GB2312" w:eastAsia="仿宋_GB2312" w:cs="仿宋_GB231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担保模式：</w:t>
      </w:r>
      <w:r>
        <w:rPr>
          <w:rFonts w:hint="eastAsia" w:ascii="仿宋_GB2312" w:hAnsi="仿宋_GB2312" w:eastAsia="仿宋_GB2312" w:cs="仿宋_GB2312"/>
        </w:rPr>
        <w:t>追加抵押物的客户不动产抵押率最高可达120%。</w:t>
      </w:r>
    </w:p>
    <w:p>
      <w:pPr>
        <w:pStyle w:val="4"/>
        <w:spacing w:line="600" w:lineRule="exact"/>
        <w:ind w:left="640" w:left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业务流程：</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1</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贷款受理和贷前调查：企业主向我行提交产品贷款申请，客户经理依据具体情况完成贷前调查等相关手续。</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2</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贷中审查审批：审查人员根据客户经理贷前调查报告及调查资料进行尽职情况审查，对审查通过的贷款出具审查意见提交有权审批人签署。</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3</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rPr>
        <w:t>贷款发放：贷款审批通过后，我行与企业签订借款合同，提供放款相关材料后提用贷款。</w:t>
      </w:r>
    </w:p>
    <w:p>
      <w:pPr>
        <w:pStyle w:val="5"/>
        <w:spacing w:before="0" w:after="0" w:line="600" w:lineRule="exact"/>
        <w:jc w:val="both"/>
        <w:rPr>
          <w:rFonts w:ascii="仿宋_GB2312" w:hAnsi="仿宋_GB2312" w:eastAsia="仿宋_GB2312" w:cs="仿宋_GB2312"/>
          <w:sz w:val="32"/>
          <w:szCs w:val="32"/>
        </w:rPr>
      </w:pPr>
    </w:p>
    <w:p>
      <w:pPr>
        <w:spacing w:line="600" w:lineRule="exact"/>
      </w:pPr>
    </w:p>
    <w:p>
      <w:pPr>
        <w:pStyle w:val="2"/>
        <w:spacing w:before="0" w:beforeAutospacing="0" w:after="0" w:line="600" w:lineRule="exact"/>
        <w:ind w:left="640" w:firstLine="640"/>
      </w:pPr>
    </w:p>
    <w:p>
      <w:pPr>
        <w:pStyle w:val="4"/>
        <w:spacing w:line="600" w:lineRule="exact"/>
      </w:pPr>
    </w:p>
    <w:p>
      <w:pPr>
        <w:pStyle w:val="4"/>
        <w:spacing w:line="600" w:lineRule="exact"/>
      </w:pPr>
    </w:p>
    <w:p>
      <w:pPr>
        <w:pStyle w:val="4"/>
        <w:spacing w:line="600" w:lineRule="exact"/>
      </w:pPr>
    </w:p>
    <w:p>
      <w:pPr>
        <w:pStyle w:val="2"/>
        <w:ind w:left="0" w:leftChars="0" w:firstLine="0" w:firstLineChars="0"/>
      </w:pPr>
      <w:bookmarkStart w:id="154" w:name="_Toc22490"/>
      <w:bookmarkStart w:id="155" w:name="_Toc8779"/>
      <w:bookmarkStart w:id="156" w:name="_Toc29931"/>
    </w:p>
    <w:p>
      <w:pPr>
        <w:pStyle w:val="7"/>
        <w:ind w:firstLine="720"/>
        <w:outlineLvl w:val="0"/>
        <w:rPr>
          <w:rFonts w:hint="default"/>
          <w:sz w:val="36"/>
          <w:szCs w:val="36"/>
        </w:rPr>
      </w:pPr>
      <w:bookmarkStart w:id="157" w:name="_Toc26473"/>
      <w:bookmarkStart w:id="158" w:name="_Toc266107737"/>
      <w:bookmarkStart w:id="159" w:name="_Toc5573"/>
      <w:r>
        <w:rPr>
          <w:rFonts w:hint="eastAsia"/>
          <w:sz w:val="36"/>
          <w:szCs w:val="36"/>
          <w:lang w:val="en-US" w:eastAsia="zh-CN"/>
        </w:rPr>
        <w:t>十</w:t>
      </w:r>
      <w:r>
        <w:rPr>
          <w:sz w:val="36"/>
          <w:szCs w:val="36"/>
        </w:rPr>
        <w:t>、建设银行</w:t>
      </w:r>
      <w:bookmarkEnd w:id="154"/>
      <w:r>
        <w:rPr>
          <w:sz w:val="36"/>
          <w:szCs w:val="36"/>
        </w:rPr>
        <w:t>“专精特新”企业专属金融产品</w:t>
      </w:r>
      <w:bookmarkEnd w:id="155"/>
      <w:bookmarkEnd w:id="156"/>
      <w:bookmarkEnd w:id="157"/>
      <w:bookmarkEnd w:id="158"/>
      <w:bookmarkEnd w:id="159"/>
    </w:p>
    <w:p>
      <w:pPr>
        <w:pStyle w:val="4"/>
        <w:spacing w:line="600" w:lineRule="exact"/>
        <w:ind w:firstLine="640" w:firstLineChars="200"/>
        <w:rPr>
          <w:rFonts w:ascii="黑体" w:hAnsi="黑体" w:eastAsia="黑体" w:cs="黑体"/>
          <w:szCs w:val="32"/>
        </w:rPr>
      </w:pPr>
    </w:p>
    <w:p>
      <w:pPr>
        <w:pStyle w:val="4"/>
        <w:spacing w:line="600" w:lineRule="exact"/>
        <w:ind w:firstLine="640" w:firstLineChars="200"/>
        <w:outlineLvl w:val="0"/>
        <w:rPr>
          <w:rFonts w:ascii="楷体" w:hAnsi="楷体" w:eastAsia="楷体" w:cs="楷体"/>
        </w:rPr>
      </w:pPr>
      <w:bookmarkStart w:id="160" w:name="_Toc16665"/>
      <w:bookmarkStart w:id="161" w:name="_Toc12506"/>
      <w:bookmarkStart w:id="162" w:name="_Toc88168399"/>
      <w:bookmarkStart w:id="163" w:name="_Toc743"/>
      <w:bookmarkStart w:id="164" w:name="_Toc22247"/>
      <w:bookmarkStart w:id="165" w:name="_Toc11059"/>
      <w:bookmarkStart w:id="166" w:name="_Toc280078015"/>
      <w:bookmarkStart w:id="167" w:name="_Toc25351"/>
      <w:r>
        <w:rPr>
          <w:rFonts w:hint="eastAsia" w:ascii="楷体" w:hAnsi="楷体" w:eastAsia="楷体" w:cs="楷体"/>
          <w:szCs w:val="32"/>
        </w:rPr>
        <w:t>（一）</w:t>
      </w:r>
      <w:r>
        <w:rPr>
          <w:rFonts w:hint="eastAsia" w:ascii="楷体" w:hAnsi="楷体" w:eastAsia="楷体" w:cs="楷体"/>
          <w:b/>
          <w:bCs/>
        </w:rPr>
        <w:t>善新贷</w:t>
      </w:r>
      <w:bookmarkEnd w:id="160"/>
      <w:bookmarkEnd w:id="161"/>
      <w:bookmarkEnd w:id="162"/>
      <w:bookmarkEnd w:id="163"/>
      <w:bookmarkEnd w:id="164"/>
      <w:bookmarkEnd w:id="165"/>
      <w:bookmarkEnd w:id="166"/>
      <w:bookmarkEnd w:id="167"/>
    </w:p>
    <w:p>
      <w:pPr>
        <w:pStyle w:val="4"/>
        <w:spacing w:line="570" w:lineRule="exact"/>
        <w:ind w:firstLine="642" w:firstLineChars="200"/>
        <w:rPr>
          <w:rFonts w:ascii="仿宋_GB2312" w:hAnsi="仿宋_GB2312" w:eastAsia="仿宋_GB2312" w:cs="仿宋_GB2312"/>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产品简介：</w:t>
      </w:r>
      <w:r>
        <w:rPr>
          <w:rFonts w:hint="eastAsia" w:ascii="仿宋_GB2312" w:hAnsi="仿宋_GB2312" w:eastAsia="仿宋_GB2312" w:cs="仿宋_GB2312"/>
        </w:rPr>
        <w:t>建设银行通过线上线下相结合模式，面向获得省级以上“专精特新”中小企业、高新技术企业、科技型中小企业、创新型中小企业等资质的优质小微企业，发放的用于满足其生产经营需求的人民币流动资金。</w:t>
      </w:r>
    </w:p>
    <w:p>
      <w:pPr>
        <w:pStyle w:val="4"/>
        <w:spacing w:line="570" w:lineRule="exact"/>
        <w:ind w:firstLine="642" w:firstLineChars="200"/>
        <w:rPr>
          <w:rFonts w:ascii="仿宋_GB2312" w:hAnsi="仿宋_GB2312" w:eastAsia="仿宋_GB2312" w:cs="仿宋_GB231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适用对象：</w:t>
      </w:r>
      <w:r>
        <w:rPr>
          <w:rFonts w:hint="eastAsia" w:ascii="仿宋_GB2312" w:hAnsi="仿宋_GB2312" w:eastAsia="仿宋_GB2312" w:cs="仿宋_GB2312"/>
        </w:rPr>
        <w:t>获得“专精特新”中小企业、高新技术企业、科技型中小企业、创新型中小企业等资质，且经工商行政管理机关核准登记的小微企业。</w:t>
      </w:r>
    </w:p>
    <w:p>
      <w:pPr>
        <w:pStyle w:val="4"/>
        <w:spacing w:line="570" w:lineRule="exact"/>
        <w:ind w:firstLine="642" w:firstLineChars="200"/>
        <w:rPr>
          <w:rFonts w:ascii="仿宋_GB2312" w:hAnsi="仿宋_GB2312" w:eastAsia="仿宋_GB2312" w:cs="仿宋_GB2312"/>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贷款期限：</w:t>
      </w:r>
      <w:r>
        <w:rPr>
          <w:rFonts w:hint="eastAsia" w:ascii="仿宋_GB2312" w:hAnsi="仿宋_GB2312" w:eastAsia="仿宋_GB2312" w:cs="仿宋_GB2312"/>
        </w:rPr>
        <w:t>额度有效期最长3年。其中，科技型中小企业、创新型中小企业等贷款期限最长1年（含）。</w:t>
      </w:r>
    </w:p>
    <w:p>
      <w:pPr>
        <w:pStyle w:val="4"/>
        <w:spacing w:line="600" w:lineRule="exact"/>
        <w:ind w:firstLine="642" w:firstLineChars="200"/>
        <w:rPr>
          <w:rFonts w:ascii="仿宋" w:hAnsi="仿宋" w:eastAsia="仿宋_GB2312" w:cs="仿宋"/>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rPr>
        <w:t>单户贷款额度最高1000万元（根据企业与企业主的销售收入、资产负债、交易结算、纳税社保等多维度信息确定额度）。</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业务流程：</w:t>
      </w:r>
      <w:r>
        <w:rPr>
          <w:rFonts w:hint="eastAsia" w:ascii="仿宋_GB2312" w:hAnsi="仿宋_GB2312" w:eastAsia="仿宋_GB2312" w:cs="仿宋_GB2312"/>
        </w:rPr>
        <w:t>客户提交申请→客户经理收集材料（营业执照、借款人个人及企业征信报告、专精特新称号获得情况、贷方结算证明等）并审核→“惠懂你”APP在线自动审批生成额度→客户在线签约申请支用。</w:t>
      </w:r>
    </w:p>
    <w:p>
      <w:pPr>
        <w:pStyle w:val="4"/>
        <w:spacing w:line="600" w:lineRule="exact"/>
        <w:rPr>
          <w:rFonts w:ascii="仿宋_GB2312" w:hAnsi="仿宋_GB2312" w:eastAsia="仿宋_GB2312" w:cs="仿宋_GB2312"/>
        </w:rPr>
      </w:pPr>
    </w:p>
    <w:p>
      <w:pPr>
        <w:pStyle w:val="4"/>
        <w:spacing w:line="600" w:lineRule="exact"/>
        <w:ind w:firstLine="642" w:firstLineChars="200"/>
        <w:outlineLvl w:val="0"/>
        <w:rPr>
          <w:rFonts w:ascii="楷体" w:hAnsi="楷体" w:eastAsia="楷体" w:cs="楷体"/>
          <w:b/>
          <w:bCs/>
          <w:szCs w:val="32"/>
        </w:rPr>
      </w:pPr>
      <w:bookmarkStart w:id="168" w:name="_Toc2868"/>
      <w:bookmarkStart w:id="169" w:name="_Toc1811486220"/>
      <w:bookmarkStart w:id="170" w:name="_Toc526348156"/>
      <w:bookmarkStart w:id="171" w:name="_Toc6730"/>
      <w:bookmarkStart w:id="172" w:name="_Toc23118"/>
      <w:bookmarkStart w:id="173" w:name="_Toc10365"/>
      <w:bookmarkStart w:id="174" w:name="_Toc29143"/>
      <w:bookmarkStart w:id="175" w:name="_Toc2968"/>
      <w:r>
        <w:rPr>
          <w:rFonts w:hint="eastAsia" w:ascii="楷体" w:hAnsi="楷体" w:eastAsia="楷体" w:cs="楷体"/>
          <w:b/>
          <w:bCs/>
          <w:szCs w:val="32"/>
        </w:rPr>
        <w:t>（二）科技创业贷款</w:t>
      </w:r>
      <w:bookmarkEnd w:id="168"/>
      <w:bookmarkEnd w:id="169"/>
      <w:bookmarkEnd w:id="170"/>
      <w:bookmarkEnd w:id="171"/>
      <w:bookmarkEnd w:id="172"/>
      <w:bookmarkEnd w:id="173"/>
      <w:bookmarkEnd w:id="174"/>
      <w:bookmarkEnd w:id="175"/>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rPr>
        <w:t>建设银行通过建立合作机构增信、抵质押增信、核心订单及应收账款、政府补贴、工资纳税、研发投入（无形资产）、创投估值等多维度测评，为满足企业日常生产经营周转需要，向科创企业提供的流动资金贷款支持。</w:t>
      </w:r>
    </w:p>
    <w:p>
      <w:pPr>
        <w:pStyle w:val="4"/>
        <w:spacing w:line="60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rPr>
        <w:t>属于高技术产业、战略性新兴产业或新基建相关领域，获得国家级高新技术企业或“专精特新”企业、“瞪羚”“独角兽”“科技小巨人”等其他省级及以上资质认证的高新技</w:t>
      </w:r>
      <w:r>
        <w:rPr>
          <w:rFonts w:hint="eastAsia" w:ascii="仿宋_GB2312" w:hAnsi="仿宋_GB2312" w:eastAsia="仿宋_GB2312" w:cs="仿宋_GB2312"/>
          <w:szCs w:val="32"/>
        </w:rPr>
        <w:t>术企业。</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rPr>
        <w:t>最长期限3年。</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rPr>
        <w:t>以信用方式办理的：小微企业客户不超过500万元；中型企业客户原则上不超过5000万元；提供抵押、质押、担保或建行认可的机构增信等风险缓释措施的：小微企业客户不超过3000万元；中型企业客户单户贷款额度不设上限。</w:t>
      </w:r>
    </w:p>
    <w:p>
      <w:pPr>
        <w:pStyle w:val="4"/>
        <w:spacing w:line="600" w:lineRule="exact"/>
        <w:ind w:firstLine="642" w:firstLineChars="200"/>
        <w:rPr>
          <w:rFonts w:ascii="仿宋" w:hAnsi="仿宋" w:eastAsia="仿宋_GB2312" w:cs="仿宋"/>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业务流程：</w:t>
      </w:r>
      <w:r>
        <w:rPr>
          <w:rFonts w:hint="eastAsia" w:ascii="仿宋_GB2312" w:hAnsi="仿宋_GB2312" w:eastAsia="仿宋_GB2312" w:cs="仿宋_GB2312"/>
        </w:rPr>
        <w:t>客户提交申请→客户经理收集材料（营业执照、审计报告、产品资料、章程、推荐函等）→准入通过后银行审批额度→客户签约→申请支用。</w:t>
      </w:r>
    </w:p>
    <w:p>
      <w:pPr>
        <w:pStyle w:val="5"/>
        <w:spacing w:before="0" w:after="0" w:line="600" w:lineRule="exact"/>
        <w:jc w:val="both"/>
        <w:rPr>
          <w:b/>
          <w:bCs/>
        </w:rPr>
      </w:pPr>
    </w:p>
    <w:p>
      <w:pPr>
        <w:pStyle w:val="5"/>
        <w:spacing w:before="0" w:after="0" w:line="600" w:lineRule="exact"/>
        <w:jc w:val="both"/>
      </w:pPr>
    </w:p>
    <w:p>
      <w:pPr>
        <w:spacing w:line="600" w:lineRule="exact"/>
      </w:pPr>
    </w:p>
    <w:p>
      <w:pPr>
        <w:pStyle w:val="2"/>
        <w:spacing w:before="0" w:beforeAutospacing="0" w:after="0" w:line="600" w:lineRule="exact"/>
        <w:ind w:left="640" w:firstLine="640"/>
      </w:pPr>
    </w:p>
    <w:p>
      <w:pPr>
        <w:pStyle w:val="4"/>
        <w:spacing w:line="600" w:lineRule="exact"/>
      </w:pPr>
    </w:p>
    <w:p>
      <w:pPr>
        <w:pStyle w:val="7"/>
        <w:ind w:firstLine="720"/>
        <w:outlineLvl w:val="0"/>
        <w:rPr>
          <w:rFonts w:hint="default"/>
          <w:sz w:val="36"/>
          <w:szCs w:val="36"/>
        </w:rPr>
      </w:pPr>
      <w:bookmarkStart w:id="176" w:name="_Toc19344"/>
      <w:bookmarkStart w:id="177" w:name="_Toc1594125112"/>
      <w:bookmarkStart w:id="178" w:name="_Toc13263"/>
      <w:r>
        <w:rPr>
          <w:sz w:val="36"/>
          <w:szCs w:val="36"/>
        </w:rPr>
        <w:t>十</w:t>
      </w:r>
      <w:r>
        <w:rPr>
          <w:rFonts w:hint="eastAsia"/>
          <w:sz w:val="36"/>
          <w:szCs w:val="36"/>
          <w:lang w:val="en-US" w:eastAsia="zh-CN"/>
        </w:rPr>
        <w:t>一</w:t>
      </w:r>
      <w:r>
        <w:rPr>
          <w:sz w:val="36"/>
          <w:szCs w:val="36"/>
        </w:rPr>
        <w:t>、交通银行“专精特新”企业专属金融产品</w:t>
      </w:r>
      <w:bookmarkEnd w:id="176"/>
      <w:bookmarkEnd w:id="177"/>
    </w:p>
    <w:p>
      <w:pPr>
        <w:tabs>
          <w:tab w:val="left" w:pos="210"/>
        </w:tabs>
        <w:spacing w:line="600" w:lineRule="exact"/>
        <w:rPr>
          <w:rFonts w:ascii="仿宋_GB2312" w:hAnsi="仿宋_GB2312" w:eastAsia="仿宋_GB2312" w:cs="仿宋_GB2312"/>
          <w:bCs/>
          <w:color w:val="0000FF"/>
          <w:szCs w:val="32"/>
        </w:rPr>
      </w:pPr>
    </w:p>
    <w:p>
      <w:pPr>
        <w:tabs>
          <w:tab w:val="left" w:pos="210"/>
        </w:tabs>
        <w:spacing w:line="600" w:lineRule="exact"/>
        <w:ind w:firstLine="642" w:firstLineChars="200"/>
        <w:outlineLvl w:val="0"/>
        <w:rPr>
          <w:rFonts w:ascii="楷体" w:hAnsi="楷体" w:eastAsia="楷体" w:cs="楷体"/>
          <w:b/>
          <w:szCs w:val="32"/>
        </w:rPr>
      </w:pPr>
      <w:bookmarkStart w:id="179" w:name="_Toc11810"/>
      <w:bookmarkStart w:id="180" w:name="_Toc21439"/>
      <w:bookmarkStart w:id="181" w:name="_Toc2292"/>
      <w:bookmarkStart w:id="182" w:name="_Toc26745396"/>
      <w:bookmarkStart w:id="183" w:name="_Toc697104645"/>
      <w:bookmarkStart w:id="184" w:name="_Toc3240"/>
      <w:r>
        <w:rPr>
          <w:rFonts w:hint="eastAsia" w:ascii="楷体" w:hAnsi="楷体" w:eastAsia="楷体" w:cs="楷体"/>
          <w:b/>
          <w:szCs w:val="32"/>
        </w:rPr>
        <w:t>（一）科技易贷</w:t>
      </w:r>
      <w:bookmarkEnd w:id="179"/>
      <w:bookmarkEnd w:id="180"/>
      <w:bookmarkEnd w:id="181"/>
      <w:bookmarkEnd w:id="182"/>
      <w:bookmarkEnd w:id="183"/>
      <w:bookmarkEnd w:id="184"/>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20"/>
          <w:lang w:val="en-US" w:eastAsia="zh-CN"/>
        </w:rPr>
        <w:t>1.</w:t>
      </w:r>
      <w:r>
        <w:rPr>
          <w:rFonts w:hint="eastAsia" w:ascii="仿宋_GB2312" w:hAnsi="仿宋_GB2312" w:eastAsia="仿宋_GB2312" w:cs="仿宋_GB2312"/>
          <w:b/>
          <w:bCs/>
          <w:szCs w:val="20"/>
        </w:rPr>
        <w:t>产品简介：</w:t>
      </w:r>
      <w:r>
        <w:rPr>
          <w:rFonts w:hint="eastAsia" w:ascii="仿宋_GB2312" w:hAnsi="仿宋_GB2312" w:eastAsia="仿宋_GB2312" w:cs="仿宋_GB2312"/>
          <w:kern w:val="0"/>
          <w:szCs w:val="32"/>
        </w:rPr>
        <w:t>“科技易贷”是交通银行针对特定的科技型小微企业，开展的全线上融资服务。</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20"/>
          <w:lang w:val="en-US" w:eastAsia="zh-CN"/>
        </w:rPr>
        <w:t>2.</w:t>
      </w:r>
      <w:r>
        <w:rPr>
          <w:rFonts w:hint="eastAsia" w:ascii="仿宋_GB2312" w:hAnsi="仿宋_GB2312" w:eastAsia="仿宋_GB2312" w:cs="仿宋_GB2312"/>
          <w:b/>
          <w:bCs/>
          <w:szCs w:val="20"/>
        </w:rPr>
        <w:t>适用对象：</w:t>
      </w:r>
      <w:r>
        <w:rPr>
          <w:rFonts w:hint="eastAsia" w:ascii="仿宋_GB2312" w:hAnsi="仿宋_GB2312" w:eastAsia="仿宋_GB2312" w:cs="仿宋_GB2312"/>
          <w:kern w:val="0"/>
          <w:szCs w:val="32"/>
        </w:rPr>
        <w:t>具备“专精特新小巨人、专精特新中小企业、高新技术企业、科技型中小企业”4类资质之一科技型小微企业。</w:t>
      </w:r>
    </w:p>
    <w:p>
      <w:pPr>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20"/>
          <w:lang w:val="en-US" w:eastAsia="zh-CN"/>
        </w:rPr>
        <w:t>3.</w:t>
      </w:r>
      <w:r>
        <w:rPr>
          <w:rFonts w:hint="eastAsia" w:ascii="仿宋_GB2312" w:hAnsi="仿宋_GB2312" w:eastAsia="仿宋_GB2312" w:cs="仿宋_GB2312"/>
          <w:b/>
          <w:bCs/>
          <w:szCs w:val="20"/>
        </w:rPr>
        <w:t>担保方式：</w:t>
      </w:r>
      <w:r>
        <w:rPr>
          <w:rFonts w:hint="eastAsia" w:ascii="仿宋_GB2312" w:hAnsi="仿宋_GB2312" w:eastAsia="仿宋_GB2312" w:cs="仿宋_GB2312"/>
        </w:rPr>
        <w:t>支持信用、抵押等多种担保方式灵活组合。</w:t>
      </w:r>
    </w:p>
    <w:p>
      <w:pPr>
        <w:spacing w:line="600" w:lineRule="exact"/>
        <w:ind w:firstLine="642" w:firstLineChars="200"/>
      </w:pPr>
      <w:r>
        <w:rPr>
          <w:rFonts w:hint="eastAsia" w:ascii="仿宋_GB2312" w:hAnsi="仿宋_GB2312" w:eastAsia="仿宋_GB2312" w:cs="仿宋_GB2312"/>
          <w:b/>
          <w:bCs/>
          <w:szCs w:val="20"/>
          <w:lang w:val="en-US" w:eastAsia="zh-CN"/>
        </w:rPr>
        <w:t>4.</w:t>
      </w:r>
      <w:r>
        <w:rPr>
          <w:rFonts w:hint="eastAsia" w:ascii="仿宋_GB2312" w:hAnsi="仿宋_GB2312" w:eastAsia="仿宋_GB2312" w:cs="仿宋_GB2312"/>
          <w:b/>
          <w:bCs/>
          <w:szCs w:val="20"/>
        </w:rPr>
        <w:t>授信额度：</w:t>
      </w:r>
      <w:r>
        <w:rPr>
          <w:rFonts w:hint="eastAsia" w:ascii="仿宋_GB2312" w:hAnsi="仿宋_GB2312" w:eastAsia="仿宋_GB2312" w:cs="仿宋_GB2312"/>
        </w:rPr>
        <w:t>额度最高至1000万元，纯信用额度最高300万元。</w:t>
      </w:r>
    </w:p>
    <w:p>
      <w:pPr>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20"/>
          <w:lang w:val="en-US" w:eastAsia="zh-CN"/>
        </w:rPr>
        <w:t>5.</w:t>
      </w:r>
      <w:r>
        <w:rPr>
          <w:rFonts w:hint="eastAsia" w:ascii="仿宋_GB2312" w:hAnsi="仿宋_GB2312" w:eastAsia="仿宋_GB2312" w:cs="仿宋_GB2312"/>
          <w:b/>
          <w:bCs/>
          <w:szCs w:val="20"/>
        </w:rPr>
        <w:t>贷款方式：</w:t>
      </w:r>
      <w:r>
        <w:rPr>
          <w:rFonts w:hint="eastAsia" w:ascii="仿宋_GB2312" w:hAnsi="仿宋_GB2312" w:eastAsia="仿宋_GB2312" w:cs="仿宋_GB2312"/>
        </w:rPr>
        <w:t>在线扫码申请，线上自动审批，额度循环使用，贷款随借随还。</w:t>
      </w:r>
    </w:p>
    <w:p>
      <w:pPr>
        <w:spacing w:line="600" w:lineRule="exact"/>
        <w:ind w:firstLine="720" w:firstLineChars="200"/>
        <w:rPr>
          <w:rFonts w:ascii="方正小标宋简体" w:hAnsi="方正小标宋简体" w:eastAsia="方正小标宋简体" w:cs="方正小标宋简体"/>
          <w:sz w:val="36"/>
          <w:szCs w:val="36"/>
        </w:rPr>
      </w:pPr>
    </w:p>
    <w:p>
      <w:pPr>
        <w:spacing w:line="600" w:lineRule="exact"/>
        <w:ind w:firstLine="720" w:firstLineChars="200"/>
        <w:rPr>
          <w:rFonts w:ascii="方正小标宋简体" w:hAnsi="方正小标宋简体" w:eastAsia="方正小标宋简体" w:cs="方正小标宋简体"/>
          <w:sz w:val="36"/>
          <w:szCs w:val="36"/>
        </w:rPr>
      </w:pPr>
    </w:p>
    <w:p>
      <w:pPr>
        <w:spacing w:line="600" w:lineRule="exact"/>
        <w:ind w:firstLine="720" w:firstLineChars="200"/>
        <w:rPr>
          <w:rFonts w:ascii="方正小标宋简体" w:hAnsi="方正小标宋简体" w:eastAsia="方正小标宋简体" w:cs="方正小标宋简体"/>
          <w:sz w:val="36"/>
          <w:szCs w:val="36"/>
        </w:rPr>
      </w:pPr>
    </w:p>
    <w:p>
      <w:pPr>
        <w:pStyle w:val="2"/>
        <w:ind w:left="640" w:firstLine="720"/>
        <w:rPr>
          <w:rFonts w:ascii="方正小标宋简体" w:hAnsi="方正小标宋简体" w:eastAsia="方正小标宋简体" w:cs="方正小标宋简体"/>
          <w:sz w:val="36"/>
          <w:szCs w:val="36"/>
        </w:rPr>
      </w:pPr>
    </w:p>
    <w:p>
      <w:pPr>
        <w:pStyle w:val="4"/>
        <w:rPr>
          <w:rFonts w:ascii="方正小标宋简体" w:hAnsi="方正小标宋简体" w:eastAsia="方正小标宋简体" w:cs="方正小标宋简体"/>
          <w:sz w:val="36"/>
          <w:szCs w:val="36"/>
        </w:rPr>
      </w:pPr>
    </w:p>
    <w:p>
      <w:pPr>
        <w:pStyle w:val="4"/>
        <w:rPr>
          <w:rFonts w:ascii="方正小标宋简体" w:hAnsi="方正小标宋简体" w:eastAsia="方正小标宋简体" w:cs="方正小标宋简体"/>
          <w:sz w:val="36"/>
          <w:szCs w:val="36"/>
        </w:rPr>
      </w:pPr>
    </w:p>
    <w:p>
      <w:pPr>
        <w:pStyle w:val="4"/>
        <w:rPr>
          <w:rFonts w:ascii="方正小标宋简体" w:hAnsi="方正小标宋简体" w:eastAsia="方正小标宋简体" w:cs="方正小标宋简体"/>
          <w:sz w:val="36"/>
          <w:szCs w:val="36"/>
        </w:rPr>
      </w:pPr>
    </w:p>
    <w:p>
      <w:pPr>
        <w:spacing w:line="600" w:lineRule="exact"/>
        <w:ind w:firstLine="720" w:firstLineChars="200"/>
        <w:rPr>
          <w:rFonts w:ascii="方正小标宋简体" w:hAnsi="方正小标宋简体" w:eastAsia="方正小标宋简体" w:cs="方正小标宋简体"/>
          <w:sz w:val="36"/>
          <w:szCs w:val="36"/>
        </w:rPr>
      </w:pPr>
    </w:p>
    <w:p>
      <w:pPr>
        <w:pStyle w:val="7"/>
        <w:ind w:firstLine="720"/>
        <w:outlineLvl w:val="0"/>
        <w:rPr>
          <w:rFonts w:hint="default"/>
          <w:sz w:val="36"/>
          <w:szCs w:val="36"/>
        </w:rPr>
      </w:pPr>
      <w:bookmarkStart w:id="185" w:name="_Toc247106555"/>
      <w:bookmarkStart w:id="186" w:name="_Toc3366"/>
      <w:r>
        <w:rPr>
          <w:sz w:val="36"/>
          <w:szCs w:val="36"/>
        </w:rPr>
        <w:t>十</w:t>
      </w:r>
      <w:r>
        <w:rPr>
          <w:rFonts w:hint="eastAsia"/>
          <w:sz w:val="36"/>
          <w:szCs w:val="36"/>
          <w:lang w:val="en-US" w:eastAsia="zh-CN"/>
        </w:rPr>
        <w:t>二</w:t>
      </w:r>
      <w:r>
        <w:rPr>
          <w:sz w:val="36"/>
          <w:szCs w:val="36"/>
        </w:rPr>
        <w:t>、邮储银行“专精特新”企业专属金融产品</w:t>
      </w:r>
      <w:bookmarkEnd w:id="178"/>
      <w:bookmarkEnd w:id="185"/>
      <w:bookmarkEnd w:id="186"/>
    </w:p>
    <w:p>
      <w:pPr>
        <w:pStyle w:val="4"/>
        <w:spacing w:line="600" w:lineRule="exact"/>
      </w:pPr>
    </w:p>
    <w:p>
      <w:pPr>
        <w:pStyle w:val="4"/>
        <w:spacing w:line="600" w:lineRule="exact"/>
        <w:ind w:firstLine="642" w:firstLineChars="200"/>
        <w:outlineLvl w:val="0"/>
        <w:rPr>
          <w:rFonts w:ascii="楷体" w:hAnsi="楷体" w:eastAsia="楷体" w:cs="楷体"/>
        </w:rPr>
      </w:pPr>
      <w:bookmarkStart w:id="187" w:name="_Toc13941"/>
      <w:bookmarkStart w:id="188" w:name="_Toc6685"/>
      <w:bookmarkStart w:id="189" w:name="_Toc15221"/>
      <w:bookmarkStart w:id="190" w:name="_Toc29852"/>
      <w:bookmarkStart w:id="191" w:name="_Toc1358564891"/>
      <w:bookmarkStart w:id="192" w:name="_Toc12317"/>
      <w:bookmarkStart w:id="193" w:name="_Toc2012202162"/>
      <w:bookmarkStart w:id="194" w:name="_Toc29330"/>
      <w:r>
        <w:rPr>
          <w:rFonts w:hint="eastAsia" w:ascii="楷体" w:hAnsi="楷体" w:eastAsia="楷体" w:cs="楷体"/>
          <w:b/>
          <w:bCs/>
          <w:szCs w:val="32"/>
        </w:rPr>
        <w:t>（一）科创贷</w:t>
      </w:r>
      <w:bookmarkEnd w:id="187"/>
      <w:bookmarkEnd w:id="188"/>
      <w:bookmarkEnd w:id="189"/>
      <w:bookmarkEnd w:id="190"/>
      <w:bookmarkEnd w:id="191"/>
      <w:bookmarkEnd w:id="192"/>
      <w:bookmarkEnd w:id="193"/>
      <w:bookmarkEnd w:id="194"/>
    </w:p>
    <w:p>
      <w:pPr>
        <w:spacing w:line="600" w:lineRule="exact"/>
        <w:ind w:firstLine="642" w:firstLineChars="200"/>
        <w:rPr>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科创小企业贷款业务（以下简称科创贷）是指邮储银行向科创小企业发放的，用于企业生产经营的人民币贷款业务，含流动资金贷款、固定资产贷款。</w:t>
      </w:r>
    </w:p>
    <w:p>
      <w:pPr>
        <w:pStyle w:val="4"/>
        <w:spacing w:line="600" w:lineRule="exact"/>
        <w:ind w:firstLine="642" w:firstLineChars="200"/>
        <w:jc w:val="both"/>
        <w:rPr>
          <w:rStyle w:val="20"/>
          <w:rFonts w:hint="default" w:ascii="仿宋_GB2312" w:hAnsi="仿宋_GB2312" w:eastAsia="仿宋_GB2312" w:cs="仿宋_GB2312"/>
          <w:b w:val="0"/>
          <w:snapToGrid w:val="0"/>
          <w:color w:val="000000"/>
          <w:kern w:val="0"/>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Style w:val="20"/>
          <w:rFonts w:ascii="仿宋_GB2312" w:hAnsi="仿宋_GB2312" w:eastAsia="仿宋_GB2312" w:cs="仿宋_GB2312"/>
          <w:b w:val="0"/>
          <w:snapToGrid w:val="0"/>
          <w:color w:val="000000"/>
          <w:kern w:val="0"/>
        </w:rPr>
        <w:t>在产品、技术、管理、模式等方面创新能力强、专注细分市场、成长性好的中小微企业。一是</w:t>
      </w:r>
      <w:r>
        <w:rPr>
          <w:rFonts w:hint="eastAsia" w:ascii="仿宋_GB2312" w:hAnsi="仿宋_GB2312" w:eastAsia="仿宋_GB2312" w:cs="仿宋_GB2312"/>
          <w:bCs/>
          <w:szCs w:val="32"/>
        </w:rPr>
        <w:t>拥有处于有效期内的相关资质认证（如：高新技术企业资格证书、专精特新资质认证、创新型中小企业资质认证等）；二是企业连续正常经营1年及以上。实际控制人在企业主营业务行业或相近行业从业经历在3年及以上；企业管理团队稳定，最近2年内主营业务、董事、高管没有发生重大变化，且实际控制人没有实质变更；企业最近1年主营业务收入不低于1000万元（专精特新类企业可不受本条限制），主营业务收入占比不低于80%。三是企业商业模式</w:t>
      </w:r>
      <w:r>
        <w:rPr>
          <w:rFonts w:hint="eastAsia" w:ascii="仿宋_GB2312" w:hAnsi="仿宋_GB2312" w:eastAsia="仿宋_GB2312" w:cs="仿宋_GB2312"/>
          <w:szCs w:val="32"/>
        </w:rPr>
        <w:t>清晰，具有较高成长性，具体为：原则上，企业近3年至少2年净利润为正值；企业近2年主营业务收入或净利润平均增长率不低于3%。</w:t>
      </w:r>
    </w:p>
    <w:p>
      <w:pPr>
        <w:pStyle w:val="2"/>
        <w:spacing w:before="0" w:beforeAutospacing="0" w:after="0" w:line="600" w:lineRule="exact"/>
        <w:ind w:left="0" w:leftChars="0" w:firstLine="64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szCs w:val="32"/>
        </w:rPr>
        <w:t>单笔流动资金贷款期限最长3年，单笔固定资产贷款期限最长10年。</w:t>
      </w:r>
    </w:p>
    <w:p>
      <w:pPr>
        <w:pStyle w:val="4"/>
        <w:spacing w:line="600" w:lineRule="exact"/>
        <w:ind w:firstLine="642" w:firstLineChars="200"/>
        <w:rPr>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color w:val="000000" w:themeColor="text1"/>
          <w:szCs w:val="32"/>
          <w14:textFill>
            <w14:solidFill>
              <w14:schemeClr w14:val="tx1"/>
            </w14:solidFill>
          </w14:textFill>
        </w:rPr>
        <w:t>最高不超过</w:t>
      </w:r>
      <w:r>
        <w:rPr>
          <w:rFonts w:hint="eastAsia" w:ascii="仿宋_GB2312" w:hAnsi="仿宋_GB2312" w:eastAsia="仿宋_GB2312" w:cs="仿宋_GB2312"/>
          <w:szCs w:val="32"/>
        </w:rPr>
        <w:t>5000万元。</w:t>
      </w:r>
    </w:p>
    <w:p>
      <w:pPr>
        <w:pStyle w:val="4"/>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贷款利率：</w:t>
      </w:r>
      <w:r>
        <w:rPr>
          <w:rFonts w:hint="eastAsia" w:ascii="仿宋_GB2312" w:hAnsi="仿宋_GB2312" w:eastAsia="仿宋_GB2312" w:cs="仿宋_GB2312"/>
          <w:szCs w:val="32"/>
        </w:rPr>
        <w:t>最低可至LPR（年化利率，单利）。</w:t>
      </w:r>
    </w:p>
    <w:p>
      <w:pPr>
        <w:pStyle w:val="4"/>
        <w:spacing w:line="600" w:lineRule="exact"/>
        <w:ind w:firstLine="642" w:firstLineChars="200"/>
        <w:rPr>
          <w:rFonts w:ascii="仿宋_GB2312" w:hAnsi="仿宋_GB2312" w:eastAsia="仿宋_GB2312" w:cs="仿宋_GB2312"/>
          <w:bCs/>
          <w:szCs w:val="32"/>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还款方式：</w:t>
      </w:r>
      <w:r>
        <w:rPr>
          <w:rFonts w:hint="eastAsia" w:ascii="仿宋_GB2312" w:hAnsi="仿宋_GB2312" w:eastAsia="仿宋_GB2312" w:cs="仿宋_GB2312"/>
          <w:bCs/>
          <w:szCs w:val="32"/>
        </w:rPr>
        <w:t>还款方式应与企业经营周期、回款周期相匹配，还款时间应与企业回款时间相匹配。</w:t>
      </w:r>
    </w:p>
    <w:p>
      <w:pPr>
        <w:pStyle w:val="4"/>
        <w:spacing w:line="600" w:lineRule="exact"/>
        <w:rPr>
          <w:rFonts w:ascii="仿宋_GB2312" w:hAnsi="仿宋_GB2312" w:eastAsia="仿宋_GB2312" w:cs="仿宋_GB2312"/>
          <w:bCs/>
          <w:sz w:val="30"/>
          <w:szCs w:val="30"/>
        </w:rPr>
      </w:pPr>
    </w:p>
    <w:p>
      <w:pPr>
        <w:pStyle w:val="4"/>
        <w:spacing w:line="600" w:lineRule="exact"/>
        <w:ind w:firstLine="640" w:firstLineChars="200"/>
        <w:outlineLvl w:val="0"/>
        <w:rPr>
          <w:rFonts w:ascii="楷体" w:hAnsi="楷体" w:eastAsia="楷体" w:cs="楷体"/>
        </w:rPr>
      </w:pPr>
      <w:bookmarkStart w:id="195" w:name="_Toc30773"/>
      <w:bookmarkStart w:id="196" w:name="_Toc9065"/>
      <w:bookmarkStart w:id="197" w:name="_Toc600340331"/>
      <w:bookmarkStart w:id="198" w:name="_Toc2101"/>
      <w:bookmarkStart w:id="199" w:name="_Toc7269"/>
      <w:bookmarkStart w:id="200" w:name="_Toc475912112"/>
      <w:bookmarkStart w:id="201" w:name="_Toc29080"/>
      <w:bookmarkStart w:id="202" w:name="_Toc31393"/>
      <w:r>
        <w:rPr>
          <w:rFonts w:hint="eastAsia" w:ascii="楷体" w:hAnsi="楷体" w:eastAsia="楷体" w:cs="楷体"/>
          <w:szCs w:val="32"/>
        </w:rPr>
        <w:t>（二）</w:t>
      </w:r>
      <w:r>
        <w:rPr>
          <w:rFonts w:hint="eastAsia" w:ascii="楷体" w:hAnsi="楷体" w:eastAsia="楷体" w:cs="楷体"/>
          <w:b/>
          <w:bCs/>
          <w:szCs w:val="32"/>
        </w:rPr>
        <w:t>科创e贷</w:t>
      </w:r>
      <w:bookmarkEnd w:id="195"/>
      <w:bookmarkEnd w:id="196"/>
      <w:bookmarkEnd w:id="197"/>
      <w:bookmarkEnd w:id="198"/>
      <w:bookmarkEnd w:id="199"/>
      <w:bookmarkEnd w:id="200"/>
      <w:bookmarkEnd w:id="201"/>
      <w:bookmarkEnd w:id="202"/>
    </w:p>
    <w:p>
      <w:pPr>
        <w:spacing w:line="600" w:lineRule="exact"/>
        <w:ind w:firstLine="642"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科创</w:t>
      </w:r>
      <w:r>
        <w:rPr>
          <w:rFonts w:hint="eastAsia" w:ascii="仿宋_GB2312" w:hAnsi="仿宋_GB2312" w:cs="仿宋_GB2312"/>
          <w:szCs w:val="32"/>
        </w:rPr>
        <w:t>e</w:t>
      </w:r>
      <w:r>
        <w:rPr>
          <w:rFonts w:hint="eastAsia" w:ascii="仿宋_GB2312" w:hAnsi="仿宋_GB2312" w:eastAsia="仿宋_GB2312" w:cs="仿宋_GB2312"/>
          <w:szCs w:val="32"/>
        </w:rPr>
        <w:t>贷为</w:t>
      </w:r>
      <w:r>
        <w:rPr>
          <w:rFonts w:hint="eastAsia" w:ascii="仿宋_GB2312" w:hAnsi="仿宋_GB2312" w:eastAsia="仿宋_GB2312" w:cs="仿宋_GB2312"/>
          <w:color w:val="000000" w:themeColor="text1"/>
          <w:szCs w:val="32"/>
          <w14:textFill>
            <w14:solidFill>
              <w14:schemeClr w14:val="tx1"/>
            </w14:solidFill>
          </w14:textFill>
        </w:rPr>
        <w:t>邮储银行面向拥有有效发明专利或实用新型专利的科技型小微企业，基于税务、科技特色数据的小微易贷信用产品模式。信用模式--纯信用，线上申请及审批，自动提款，随借随还；抵押模式--线上申请及审批，线下抵押，循环使用，随借随还。</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color w:val="000000" w:themeColor="text1"/>
          <w:szCs w:val="32"/>
          <w14:textFill>
            <w14:solidFill>
              <w14:schemeClr w14:val="tx1"/>
            </w14:solidFill>
          </w14:textFill>
        </w:rPr>
        <w:t>面向持有发明专利或实用新型专利的小微企业；企业经营满一年以上，</w:t>
      </w:r>
      <w:r>
        <w:rPr>
          <w:rFonts w:hint="eastAsia" w:ascii="仿宋_GB2312" w:hAnsi="仿宋_GB2312" w:eastAsia="仿宋_GB2312" w:cs="仿宋_GB2312"/>
          <w:szCs w:val="32"/>
        </w:rPr>
        <w:t>经营</w:t>
      </w:r>
      <w:r>
        <w:rPr>
          <w:rFonts w:hint="eastAsia" w:ascii="仿宋_GB2312" w:hAnsi="仿宋_GB2312" w:eastAsia="仿宋_GB2312" w:cs="仿宋_GB2312"/>
          <w:color w:val="000000" w:themeColor="text1"/>
          <w:szCs w:val="32"/>
          <w14:textFill>
            <w14:solidFill>
              <w14:schemeClr w14:val="tx1"/>
            </w14:solidFill>
          </w14:textFill>
        </w:rPr>
        <w:t>情况良好，有良好的纳税记录企业及企业主征信情况良好。</w:t>
      </w:r>
    </w:p>
    <w:p>
      <w:pPr>
        <w:pStyle w:val="4"/>
        <w:spacing w:line="600" w:lineRule="exact"/>
        <w:ind w:firstLine="642"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color w:val="000000" w:themeColor="text1"/>
          <w:szCs w:val="32"/>
          <w14:textFill>
            <w14:solidFill>
              <w14:schemeClr w14:val="tx1"/>
            </w14:solidFill>
          </w14:textFill>
        </w:rPr>
        <w:t>额度有效期最长为1年；信用模式单笔贷款最长期限一般不超过1年，抵押模式单笔贷款最长期限一般不超过3年。</w:t>
      </w:r>
    </w:p>
    <w:p>
      <w:pPr>
        <w:pStyle w:val="4"/>
        <w:spacing w:line="600" w:lineRule="exact"/>
        <w:ind w:firstLine="64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color w:val="000000" w:themeColor="text1"/>
          <w:szCs w:val="32"/>
          <w14:textFill>
            <w14:solidFill>
              <w14:schemeClr w14:val="tx1"/>
            </w14:solidFill>
          </w14:textFill>
        </w:rPr>
        <w:t>最高不超过1000万元。</w:t>
      </w:r>
    </w:p>
    <w:p>
      <w:pPr>
        <w:pStyle w:val="4"/>
        <w:spacing w:line="600" w:lineRule="exact"/>
        <w:ind w:firstLine="642" w:firstLineChars="200"/>
        <w:outlineLvl w:val="0"/>
        <w:rPr>
          <w:rFonts w:ascii="仿宋_GB2312" w:hAnsi="仿宋_GB2312" w:eastAsia="仿宋_GB2312" w:cs="仿宋_GB2312"/>
          <w:sz w:val="28"/>
          <w:szCs w:val="28"/>
        </w:rPr>
      </w:pPr>
      <w:bookmarkStart w:id="203" w:name="_Toc881043656"/>
      <w:bookmarkStart w:id="204" w:name="_Toc23223"/>
      <w:bookmarkStart w:id="205" w:name="_Toc16471"/>
      <w:bookmarkStart w:id="206" w:name="_Toc29323"/>
      <w:bookmarkStart w:id="207" w:name="_Toc883009987"/>
      <w:bookmarkStart w:id="208" w:name="_Toc8314"/>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贷款利率：</w:t>
      </w:r>
      <w:r>
        <w:rPr>
          <w:rFonts w:hint="eastAsia" w:ascii="仿宋_GB2312" w:hAnsi="仿宋_GB2312" w:eastAsia="仿宋_GB2312" w:cs="仿宋_GB2312"/>
          <w:color w:val="000000" w:themeColor="text1"/>
          <w:szCs w:val="32"/>
          <w14:textFill>
            <w14:solidFill>
              <w14:schemeClr w14:val="tx1"/>
            </w14:solidFill>
          </w14:textFill>
        </w:rPr>
        <w:t>最低可至LPR（年化利率，单利）</w:t>
      </w:r>
      <w:bookmarkEnd w:id="203"/>
      <w:bookmarkEnd w:id="204"/>
      <w:bookmarkEnd w:id="205"/>
      <w:bookmarkEnd w:id="206"/>
      <w:r>
        <w:rPr>
          <w:rFonts w:hint="eastAsia" w:ascii="仿宋_GB2312" w:hAnsi="仿宋_GB2312" w:eastAsia="仿宋_GB2312" w:cs="仿宋_GB2312"/>
          <w:color w:val="000000" w:themeColor="text1"/>
          <w:szCs w:val="32"/>
          <w14:textFill>
            <w14:solidFill>
              <w14:schemeClr w14:val="tx1"/>
            </w14:solidFill>
          </w14:textFill>
        </w:rPr>
        <w:t>。</w:t>
      </w:r>
      <w:bookmarkEnd w:id="207"/>
      <w:bookmarkEnd w:id="208"/>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还款方式：</w:t>
      </w:r>
      <w:r>
        <w:rPr>
          <w:rFonts w:hint="eastAsia" w:ascii="仿宋_GB2312" w:hAnsi="仿宋_GB2312" w:eastAsia="仿宋_GB2312" w:cs="仿宋_GB2312"/>
        </w:rPr>
        <w:t>一是</w:t>
      </w:r>
      <w:r>
        <w:rPr>
          <w:rFonts w:hint="eastAsia" w:ascii="仿宋_GB2312" w:hAnsi="仿宋_GB2312" w:eastAsia="仿宋_GB2312" w:cs="仿宋_GB2312"/>
          <w:szCs w:val="32"/>
        </w:rPr>
        <w:t>按月还息，到期一次性还本还款法；二是等额本息还款法；三是按周期结息、按还本计划表还本法；四是一次性还本付息法。</w:t>
      </w:r>
    </w:p>
    <w:p>
      <w:pPr>
        <w:pStyle w:val="7"/>
        <w:ind w:firstLine="720"/>
        <w:outlineLvl w:val="0"/>
        <w:rPr>
          <w:rFonts w:hint="default"/>
          <w:sz w:val="36"/>
          <w:szCs w:val="36"/>
        </w:rPr>
      </w:pPr>
      <w:bookmarkStart w:id="209" w:name="_Toc18105"/>
      <w:bookmarkStart w:id="210" w:name="_Toc9210"/>
      <w:bookmarkStart w:id="211" w:name="_Toc28526"/>
      <w:bookmarkStart w:id="212" w:name="_Toc28504"/>
      <w:bookmarkStart w:id="213" w:name="_Toc8853"/>
      <w:bookmarkStart w:id="214" w:name="_Toc1332018534"/>
      <w:bookmarkStart w:id="215" w:name="_Toc1849"/>
      <w:r>
        <w:rPr>
          <w:sz w:val="36"/>
          <w:szCs w:val="36"/>
        </w:rPr>
        <w:t>十</w:t>
      </w:r>
      <w:r>
        <w:rPr>
          <w:rFonts w:hint="eastAsia"/>
          <w:sz w:val="36"/>
          <w:szCs w:val="36"/>
          <w:lang w:val="en-US" w:eastAsia="zh-CN"/>
        </w:rPr>
        <w:t>三</w:t>
      </w:r>
      <w:r>
        <w:rPr>
          <w:sz w:val="36"/>
          <w:szCs w:val="36"/>
        </w:rPr>
        <w:t>、中信银行</w:t>
      </w:r>
      <w:bookmarkEnd w:id="209"/>
      <w:r>
        <w:rPr>
          <w:sz w:val="36"/>
          <w:szCs w:val="36"/>
        </w:rPr>
        <w:t>“专精特新”企业专属金融产品</w:t>
      </w:r>
      <w:bookmarkEnd w:id="210"/>
      <w:bookmarkEnd w:id="211"/>
      <w:bookmarkEnd w:id="212"/>
      <w:bookmarkEnd w:id="213"/>
      <w:bookmarkEnd w:id="214"/>
    </w:p>
    <w:p>
      <w:pPr>
        <w:pStyle w:val="4"/>
        <w:spacing w:line="600" w:lineRule="exact"/>
        <w:rPr>
          <w:rFonts w:ascii="黑体" w:hAnsi="黑体" w:eastAsia="黑体" w:cs="黑体"/>
          <w:szCs w:val="32"/>
        </w:rPr>
      </w:pPr>
    </w:p>
    <w:p>
      <w:pPr>
        <w:pStyle w:val="4"/>
        <w:spacing w:line="600" w:lineRule="exact"/>
        <w:ind w:firstLine="640" w:firstLineChars="200"/>
        <w:rPr>
          <w:rFonts w:ascii="楷体" w:hAnsi="楷体" w:eastAsia="楷体" w:cs="楷体"/>
        </w:rPr>
      </w:pPr>
      <w:r>
        <w:rPr>
          <w:rFonts w:hint="eastAsia" w:ascii="楷体" w:hAnsi="楷体" w:eastAsia="楷体" w:cs="楷体"/>
          <w:szCs w:val="32"/>
        </w:rPr>
        <w:t>（一）</w:t>
      </w:r>
      <w:r>
        <w:rPr>
          <w:rFonts w:hint="eastAsia" w:ascii="楷体" w:hAnsi="楷体" w:eastAsia="楷体" w:cs="楷体"/>
          <w:b/>
          <w:bCs/>
          <w:szCs w:val="32"/>
        </w:rPr>
        <w:t>科创e贷</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中信银行依托智能化信贷工厂，推出了全在线、纯信用的“科创e贷”数据融资服务产品。在各地中小企业主管部门提供的“专精特新”企业名单基础上，结合征信、工商、司法等数据维度，通过线上线下相结合的方式，为科创型小微企业提供纯信用用于生产经营等的流动资金贷款服务产品。</w:t>
      </w:r>
    </w:p>
    <w:p>
      <w:pPr>
        <w:pStyle w:val="2"/>
        <w:spacing w:before="0" w:beforeAutospacing="0" w:after="0" w:line="600" w:lineRule="exact"/>
        <w:ind w:left="0" w:leftChars="0" w:firstLine="640"/>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szCs w:val="32"/>
        </w:rPr>
        <w:t>专精特新科创企业均可申请。</w:t>
      </w:r>
    </w:p>
    <w:p>
      <w:pPr>
        <w:spacing w:line="600" w:lineRule="exact"/>
        <w:ind w:left="640" w:leftChars="200"/>
        <w:rPr>
          <w:rFonts w:ascii="仿宋" w:hAnsi="仿宋" w:eastAsia="仿宋" w:cs="仿宋"/>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贷款期限：</w:t>
      </w:r>
      <w:r>
        <w:rPr>
          <w:rFonts w:hint="eastAsia" w:ascii="仿宋_GB2312" w:hAnsi="仿宋_GB2312" w:eastAsia="仿宋_GB2312" w:cs="仿宋_GB2312"/>
          <w:szCs w:val="32"/>
        </w:rPr>
        <w:t>授信期限不超过1年。</w:t>
      </w:r>
    </w:p>
    <w:p>
      <w:pPr>
        <w:spacing w:line="600" w:lineRule="exact"/>
        <w:ind w:left="640" w:leftChars="200"/>
        <w:rPr>
          <w:rFonts w:ascii="仿宋" w:hAnsi="仿宋" w:eastAsia="仿宋" w:cs="仿宋"/>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贷款额度：</w:t>
      </w:r>
      <w:r>
        <w:rPr>
          <w:rFonts w:hint="eastAsia" w:ascii="仿宋_GB2312" w:hAnsi="仿宋_GB2312" w:eastAsia="仿宋_GB2312" w:cs="仿宋_GB2312"/>
          <w:szCs w:val="32"/>
        </w:rPr>
        <w:t>单户最高贷款额度1000万元。</w:t>
      </w:r>
    </w:p>
    <w:p>
      <w:pPr>
        <w:spacing w:line="600" w:lineRule="exact"/>
        <w:ind w:left="640" w:leftChars="200"/>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还款方式：</w:t>
      </w:r>
      <w:r>
        <w:rPr>
          <w:rFonts w:hint="eastAsia" w:ascii="仿宋_GB2312" w:hAnsi="仿宋_GB2312" w:eastAsia="仿宋_GB2312" w:cs="仿宋_GB2312"/>
          <w:szCs w:val="32"/>
        </w:rPr>
        <w:t>按月付息、到期还本，支持随借随还。</w:t>
      </w:r>
    </w:p>
    <w:p>
      <w:pPr>
        <w:spacing w:line="600" w:lineRule="exact"/>
        <w:ind w:left="640" w:leftChars="200"/>
        <w:rPr>
          <w:rFonts w:ascii="仿宋" w:hAnsi="仿宋" w:eastAsia="仿宋" w:cs="仿宋"/>
          <w:szCs w:val="32"/>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担保方式：</w:t>
      </w:r>
      <w:r>
        <w:rPr>
          <w:rFonts w:hint="eastAsia" w:ascii="仿宋_GB2312" w:hAnsi="仿宋_GB2312" w:eastAsia="仿宋_GB2312" w:cs="仿宋_GB2312"/>
          <w:szCs w:val="32"/>
        </w:rPr>
        <w:t>借款企业实控人连带责任担保</w:t>
      </w:r>
    </w:p>
    <w:p>
      <w:pPr>
        <w:spacing w:line="600" w:lineRule="exact"/>
      </w:pPr>
      <w:r>
        <w:rPr>
          <w:rFonts w:hint="eastAsia" w:ascii="仿宋" w:hAnsi="仿宋" w:eastAsia="仿宋" w:cs="仿宋"/>
          <w:b/>
          <w:bCs/>
          <w:szCs w:val="32"/>
        </w:rPr>
        <w:t>　</w:t>
      </w:r>
      <w:r>
        <w:rPr>
          <w:rFonts w:hint="eastAsia" w:ascii="仿宋_GB2312" w:hAnsi="仿宋_GB2312" w:eastAsia="仿宋_GB2312" w:cs="仿宋_GB2312"/>
          <w:b/>
          <w:bCs/>
          <w:szCs w:val="32"/>
        </w:rPr>
        <w:t>　</w:t>
      </w:r>
      <w:r>
        <w:rPr>
          <w:rFonts w:hint="eastAsia" w:ascii="仿宋_GB2312" w:hAnsi="仿宋_GB2312" w:eastAsia="仿宋_GB2312" w:cs="仿宋_GB2312"/>
          <w:b/>
          <w:bCs/>
          <w:szCs w:val="32"/>
          <w:lang w:val="en-US" w:eastAsia="zh-CN"/>
        </w:rPr>
        <w:t>7.</w:t>
      </w:r>
      <w:r>
        <w:rPr>
          <w:rFonts w:hint="eastAsia" w:ascii="仿宋_GB2312" w:hAnsi="仿宋_GB2312" w:eastAsia="仿宋_GB2312" w:cs="仿宋_GB2312"/>
          <w:b/>
          <w:bCs/>
          <w:szCs w:val="32"/>
        </w:rPr>
        <w:t>业务流程：</w:t>
      </w:r>
      <w:r>
        <w:rPr>
          <w:rFonts w:hint="eastAsia" w:ascii="仿宋_GB2312" w:hAnsi="仿宋_GB2312" w:eastAsia="仿宋_GB2312" w:cs="仿宋_GB2312"/>
          <w:szCs w:val="32"/>
        </w:rPr>
        <w:t>在线开通“科创e贷”产品；线上发起贷款申请，自动审批额度；在线签署电子合同；按需线上自助提款，支持自助还款可随借随还</w:t>
      </w:r>
      <w:bookmarkStart w:id="216" w:name="_Toc12350"/>
      <w:bookmarkStart w:id="217" w:name="_Toc1864"/>
      <w:r>
        <w:rPr>
          <w:rFonts w:hint="eastAsia" w:ascii="仿宋_GB2312" w:hAnsi="仿宋_GB2312" w:eastAsia="仿宋_GB2312" w:cs="仿宋_GB2312"/>
          <w:szCs w:val="32"/>
        </w:rPr>
        <w:t>。</w:t>
      </w:r>
    </w:p>
    <w:p>
      <w:pPr>
        <w:pStyle w:val="5"/>
        <w:spacing w:before="0" w:after="0" w:line="600" w:lineRule="exact"/>
      </w:pPr>
    </w:p>
    <w:p>
      <w:pPr>
        <w:pStyle w:val="5"/>
        <w:spacing w:before="0" w:after="0" w:line="600" w:lineRule="exact"/>
        <w:jc w:val="both"/>
      </w:pPr>
    </w:p>
    <w:p>
      <w:pPr>
        <w:spacing w:line="600" w:lineRule="exact"/>
      </w:pPr>
    </w:p>
    <w:p>
      <w:pPr>
        <w:pStyle w:val="2"/>
        <w:spacing w:before="0" w:beforeAutospacing="0" w:after="0" w:line="600" w:lineRule="exact"/>
        <w:ind w:left="640" w:firstLine="640"/>
      </w:pPr>
    </w:p>
    <w:bookmarkEnd w:id="215"/>
    <w:bookmarkEnd w:id="216"/>
    <w:bookmarkEnd w:id="217"/>
    <w:p>
      <w:pPr>
        <w:pStyle w:val="4"/>
        <w:spacing w:line="600" w:lineRule="exact"/>
        <w:rPr>
          <w:rFonts w:ascii="仿宋" w:hAnsi="仿宋" w:eastAsia="仿宋" w:cs="仿宋"/>
          <w:b/>
          <w:szCs w:val="32"/>
        </w:rPr>
      </w:pPr>
    </w:p>
    <w:p>
      <w:pPr>
        <w:pStyle w:val="7"/>
        <w:ind w:firstLine="720"/>
        <w:outlineLvl w:val="0"/>
        <w:rPr>
          <w:rFonts w:hint="default"/>
          <w:sz w:val="36"/>
          <w:szCs w:val="36"/>
        </w:rPr>
      </w:pPr>
      <w:bookmarkStart w:id="218" w:name="_Toc1057827926"/>
      <w:r>
        <w:rPr>
          <w:sz w:val="36"/>
          <w:szCs w:val="36"/>
        </w:rPr>
        <w:t>十</w:t>
      </w:r>
      <w:r>
        <w:rPr>
          <w:rFonts w:hint="eastAsia"/>
          <w:sz w:val="36"/>
          <w:szCs w:val="36"/>
          <w:lang w:val="en-US" w:eastAsia="zh-CN"/>
        </w:rPr>
        <w:t>四</w:t>
      </w:r>
      <w:r>
        <w:rPr>
          <w:sz w:val="36"/>
          <w:szCs w:val="36"/>
        </w:rPr>
        <w:t>、光大银行“专精特新”企业专属金融产品</w:t>
      </w:r>
      <w:bookmarkEnd w:id="218"/>
    </w:p>
    <w:p>
      <w:pPr>
        <w:tabs>
          <w:tab w:val="left" w:pos="210"/>
        </w:tabs>
        <w:spacing w:line="600" w:lineRule="exact"/>
        <w:ind w:firstLine="640" w:firstLineChars="200"/>
        <w:outlineLvl w:val="0"/>
        <w:rPr>
          <w:rFonts w:ascii="楷体" w:hAnsi="楷体" w:eastAsia="楷体" w:cs="楷体"/>
          <w:bCs/>
          <w:szCs w:val="32"/>
        </w:rPr>
      </w:pPr>
    </w:p>
    <w:p>
      <w:pPr>
        <w:tabs>
          <w:tab w:val="left" w:pos="210"/>
        </w:tabs>
        <w:spacing w:line="600" w:lineRule="exact"/>
        <w:ind w:firstLine="642" w:firstLineChars="200"/>
        <w:outlineLvl w:val="0"/>
        <w:rPr>
          <w:rFonts w:ascii="楷体" w:hAnsi="楷体" w:eastAsia="楷体" w:cs="楷体"/>
          <w:b/>
          <w:szCs w:val="32"/>
        </w:rPr>
      </w:pPr>
      <w:bookmarkStart w:id="219" w:name="_Toc19181"/>
      <w:bookmarkStart w:id="220" w:name="_Toc2081143050"/>
      <w:bookmarkStart w:id="221" w:name="_Toc1967262591"/>
      <w:r>
        <w:rPr>
          <w:rFonts w:hint="eastAsia" w:ascii="楷体" w:hAnsi="楷体" w:eastAsia="楷体" w:cs="楷体"/>
          <w:b/>
          <w:szCs w:val="32"/>
        </w:rPr>
        <w:t>（一）专精特新企业贷</w:t>
      </w:r>
      <w:bookmarkEnd w:id="219"/>
      <w:bookmarkEnd w:id="220"/>
      <w:bookmarkEnd w:id="221"/>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光大银行在“专精特新”企业名单的基础上，结合“专精特新”申报数据和其他外部数据，为“专精特新”企业提供的用于其日常生产经营周转的融资产品。该产品可实现自动化审批，客户可在对公专业版网银上自主提款、还款。</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适用国家级或省级（含副省级市）“专精特新”企业。</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授信额度：</w:t>
      </w:r>
      <w:r>
        <w:rPr>
          <w:rFonts w:hint="eastAsia" w:ascii="仿宋_GB2312" w:hAnsi="仿宋_GB2312" w:eastAsia="仿宋_GB2312" w:cs="仿宋_GB2312"/>
          <w:kern w:val="0"/>
          <w:szCs w:val="32"/>
        </w:rPr>
        <w:t>最高可达1000万元。</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kern w:val="0"/>
          <w:szCs w:val="32"/>
          <w:lang w:val="en-US" w:eastAsia="zh-CN"/>
        </w:rPr>
        <w:t>4.</w:t>
      </w:r>
      <w:r>
        <w:rPr>
          <w:rFonts w:hint="eastAsia" w:ascii="仿宋_GB2312" w:hAnsi="仿宋_GB2312" w:eastAsia="仿宋_GB2312" w:cs="仿宋_GB2312"/>
          <w:b/>
          <w:bCs/>
          <w:kern w:val="0"/>
          <w:szCs w:val="32"/>
        </w:rPr>
        <w:t>担保模式：</w:t>
      </w:r>
      <w:r>
        <w:rPr>
          <w:rFonts w:hint="eastAsia" w:ascii="仿宋_GB2312" w:hAnsi="仿宋_GB2312" w:eastAsia="仿宋_GB2312" w:cs="仿宋_GB2312"/>
          <w:kern w:val="0"/>
          <w:szCs w:val="32"/>
        </w:rPr>
        <w:t>信用免担保等多种方式。</w:t>
      </w:r>
    </w:p>
    <w:p>
      <w:pPr>
        <w:spacing w:line="600" w:lineRule="exact"/>
        <w:ind w:firstLine="642" w:firstLineChars="200"/>
      </w:pPr>
      <w:r>
        <w:rPr>
          <w:rFonts w:hint="eastAsia" w:ascii="仿宋_GB2312" w:hAnsi="仿宋_GB2312" w:eastAsia="仿宋_GB2312" w:cs="仿宋_GB2312"/>
          <w:b/>
          <w:bCs/>
          <w:kern w:val="0"/>
          <w:szCs w:val="32"/>
          <w:lang w:val="en-US" w:eastAsia="zh-CN"/>
        </w:rPr>
        <w:t>5.</w:t>
      </w:r>
      <w:r>
        <w:rPr>
          <w:rFonts w:hint="eastAsia" w:ascii="仿宋_GB2312" w:hAnsi="仿宋_GB2312" w:eastAsia="仿宋_GB2312" w:cs="仿宋_GB2312"/>
          <w:b/>
          <w:bCs/>
          <w:kern w:val="0"/>
          <w:szCs w:val="32"/>
        </w:rPr>
        <w:t>贷款期限：</w:t>
      </w:r>
      <w:r>
        <w:rPr>
          <w:rFonts w:hint="eastAsia" w:ascii="仿宋_GB2312" w:hAnsi="仿宋_GB2312" w:eastAsia="仿宋_GB2312" w:cs="仿宋_GB2312"/>
          <w:kern w:val="0"/>
          <w:szCs w:val="32"/>
        </w:rPr>
        <w:t>额度有效期最长1年。</w:t>
      </w:r>
    </w:p>
    <w:p>
      <w:pPr>
        <w:spacing w:line="600" w:lineRule="exact"/>
        <w:ind w:firstLine="642" w:firstLineChars="200"/>
        <w:outlineLvl w:val="0"/>
        <w:rPr>
          <w:rFonts w:ascii="楷体" w:hAnsi="楷体" w:eastAsia="楷体" w:cs="楷体"/>
          <w:b/>
          <w:bCs/>
          <w:szCs w:val="32"/>
        </w:rPr>
      </w:pPr>
    </w:p>
    <w:p>
      <w:pPr>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outlineLvl w:val="0"/>
        <w:rPr>
          <w:rFonts w:hint="default" w:ascii="楷体" w:hAnsi="楷体" w:eastAsia="楷体" w:cs="楷体"/>
          <w:b/>
          <w:bCs/>
          <w:color w:val="auto"/>
          <w:sz w:val="32"/>
          <w:szCs w:val="32"/>
          <w:highlight w:val="none"/>
          <w:lang w:val="en-US" w:eastAsia="zh-CN"/>
        </w:rPr>
      </w:pPr>
      <w:bookmarkStart w:id="222" w:name="_Toc201299361"/>
      <w:r>
        <w:rPr>
          <w:rFonts w:hint="eastAsia" w:ascii="楷体" w:hAnsi="楷体" w:eastAsia="楷体" w:cs="楷体"/>
          <w:b/>
          <w:bCs/>
          <w:color w:val="auto"/>
          <w:sz w:val="32"/>
          <w:szCs w:val="32"/>
          <w:highlight w:val="none"/>
          <w:lang w:val="en-US" w:eastAsia="zh-CN"/>
        </w:rPr>
        <w:t>（二）专精特新“巨人贷”</w:t>
      </w:r>
      <w:bookmarkEnd w:id="222"/>
    </w:p>
    <w:p>
      <w:pPr>
        <w:pageBreakBefore w:val="0"/>
        <w:widowControl/>
        <w:kinsoku/>
        <w:wordWrap/>
        <w:overflowPunct/>
        <w:topLinePunct w:val="0"/>
        <w:autoSpaceDE/>
        <w:autoSpaceDN/>
        <w:bidi w:val="0"/>
        <w:adjustRightInd/>
        <w:snapToGrid/>
        <w:spacing w:beforeAutospacing="0" w:line="600" w:lineRule="exact"/>
        <w:ind w:left="0" w:leftChars="0" w:firstLine="642" w:firstLineChars="200"/>
        <w:jc w:val="left"/>
        <w:textAlignment w:val="auto"/>
        <w:outlineLvl w:val="9"/>
        <w:rPr>
          <w:rFonts w:hint="eastAsia" w:ascii="仿宋" w:hAnsi="仿宋" w:eastAsia="仿宋" w:cs="仿宋"/>
          <w:color w:val="auto"/>
          <w:kern w:val="2"/>
          <w:sz w:val="32"/>
          <w:szCs w:val="20"/>
          <w:lang w:val="en-US" w:eastAsia="zh-CN" w:bidi="ar-SA"/>
        </w:rPr>
      </w:pPr>
      <w:r>
        <w:rPr>
          <w:rFonts w:hint="eastAsia" w:ascii="仿宋_GB2312" w:hAnsi="仿宋_GB2312" w:eastAsia="仿宋_GB2312" w:cs="仿宋_GB2312"/>
          <w:b/>
          <w:bCs/>
          <w:color w:val="auto"/>
          <w:kern w:val="2"/>
          <w:sz w:val="32"/>
          <w:szCs w:val="20"/>
          <w:lang w:val="en-US" w:eastAsia="zh-CN" w:bidi="ar-SA"/>
        </w:rPr>
        <w:t>1.产品简介：</w:t>
      </w:r>
      <w:r>
        <w:rPr>
          <w:rFonts w:hint="eastAsia" w:ascii="仿宋_GB2312" w:hAnsi="仿宋_GB2312" w:eastAsia="仿宋_GB2312" w:cs="仿宋_GB2312"/>
          <w:color w:val="auto"/>
          <w:kern w:val="2"/>
          <w:sz w:val="32"/>
          <w:szCs w:val="20"/>
          <w:lang w:val="en-US" w:eastAsia="zh-CN" w:bidi="ar-SA"/>
        </w:rPr>
        <w:t>“专精特新巨人贷”是</w:t>
      </w:r>
      <w:r>
        <w:rPr>
          <w:rFonts w:hint="eastAsia" w:ascii="仿宋_GB2312" w:hAnsi="仿宋_GB2312" w:eastAsia="仿宋_GB2312" w:cs="仿宋_GB2312"/>
          <w:kern w:val="0"/>
          <w:szCs w:val="32"/>
        </w:rPr>
        <w:t>光大银行</w:t>
      </w:r>
      <w:r>
        <w:rPr>
          <w:rFonts w:hint="eastAsia" w:ascii="仿宋_GB2312" w:hAnsi="仿宋_GB2312" w:eastAsia="仿宋_GB2312" w:cs="仿宋_GB2312"/>
          <w:color w:val="auto"/>
          <w:kern w:val="2"/>
          <w:sz w:val="32"/>
          <w:szCs w:val="20"/>
          <w:lang w:val="en-US" w:eastAsia="zh-CN" w:bidi="ar-SA"/>
        </w:rPr>
        <w:t>对专精特新“小巨人”企业、“专精特新”中小企业、制造业单项冠军企业等企业提供的专项贷款产品。具备效率赋能、额度赋能、政策赋能等特点，采用专属授信流程，启用优化后的授信调查模板，重点分析企业创新能力、成长性、专业化等方面内容，开通绿色审批通道，在资料齐全的情况下，原则上3个工作日内完成业务审批。</w:t>
      </w:r>
    </w:p>
    <w:p>
      <w:pPr>
        <w:keepNext w:val="0"/>
        <w:keepLines w:val="0"/>
        <w:pageBreakBefore w:val="0"/>
        <w:widowControl/>
        <w:kinsoku/>
        <w:wordWrap/>
        <w:overflowPunct/>
        <w:topLinePunct w:val="0"/>
        <w:autoSpaceDE/>
        <w:autoSpaceDN/>
        <w:bidi w:val="0"/>
        <w:adjustRightInd/>
        <w:snapToGrid/>
        <w:spacing w:beforeAutospacing="0" w:line="576" w:lineRule="exact"/>
        <w:ind w:left="0" w:leftChars="0" w:firstLine="642" w:firstLineChars="200"/>
        <w:jc w:val="left"/>
        <w:textAlignment w:val="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20"/>
          <w:lang w:val="en-US" w:eastAsia="zh-CN" w:bidi="ar-SA"/>
        </w:rPr>
        <w:t>2.适用对象：</w:t>
      </w:r>
      <w:r>
        <w:rPr>
          <w:rFonts w:hint="eastAsia" w:ascii="仿宋_GB2312" w:hAnsi="仿宋_GB2312" w:eastAsia="仿宋_GB2312" w:cs="仿宋_GB2312"/>
          <w:color w:val="auto"/>
          <w:kern w:val="2"/>
          <w:sz w:val="32"/>
          <w:szCs w:val="32"/>
          <w:highlight w:val="none"/>
          <w:lang w:val="en-US" w:eastAsia="zh-CN" w:bidi="ar-SA"/>
        </w:rPr>
        <w:t>适用于国家级专精特新“小巨人”企业、省级“专精特新”中小企业、制造业单项冠军企业等资信状况良好，符合光大银行授信政策要求的法人客户。</w:t>
      </w:r>
    </w:p>
    <w:p>
      <w:pPr>
        <w:keepNext w:val="0"/>
        <w:keepLines w:val="0"/>
        <w:pageBreakBefore w:val="0"/>
        <w:widowControl/>
        <w:kinsoku/>
        <w:wordWrap/>
        <w:overflowPunct/>
        <w:topLinePunct w:val="0"/>
        <w:autoSpaceDE/>
        <w:autoSpaceDN/>
        <w:bidi w:val="0"/>
        <w:adjustRightInd/>
        <w:snapToGrid/>
        <w:spacing w:beforeAutospacing="0" w:line="576" w:lineRule="exact"/>
        <w:ind w:left="0" w:leftChars="0" w:firstLine="642" w:firstLineChars="200"/>
        <w:jc w:val="left"/>
        <w:textAlignment w:val="auto"/>
        <w:outlineLvl w:val="9"/>
        <w:rPr>
          <w:rFonts w:hint="eastAsia" w:ascii="仿宋_GB2312" w:hAnsi="仿宋_GB2312" w:eastAsia="仿宋_GB2312" w:cs="仿宋_GB2312"/>
          <w:color w:val="auto"/>
          <w:kern w:val="2"/>
          <w:sz w:val="32"/>
          <w:szCs w:val="20"/>
          <w:lang w:val="en-US" w:eastAsia="zh-CN" w:bidi="ar-SA"/>
        </w:rPr>
      </w:pPr>
      <w:r>
        <w:rPr>
          <w:rFonts w:hint="eastAsia" w:ascii="仿宋_GB2312" w:hAnsi="仿宋_GB2312" w:eastAsia="仿宋_GB2312" w:cs="仿宋_GB2312"/>
          <w:b/>
          <w:bCs/>
          <w:color w:val="auto"/>
          <w:kern w:val="2"/>
          <w:sz w:val="32"/>
          <w:szCs w:val="20"/>
          <w:lang w:val="en-US" w:eastAsia="zh-CN" w:bidi="ar-SA"/>
        </w:rPr>
        <w:t>3.贷款期限：</w:t>
      </w:r>
      <w:r>
        <w:rPr>
          <w:rFonts w:hint="eastAsia" w:ascii="仿宋_GB2312" w:hAnsi="仿宋_GB2312" w:eastAsia="仿宋_GB2312" w:cs="仿宋_GB2312"/>
          <w:color w:val="auto"/>
          <w:kern w:val="2"/>
          <w:sz w:val="32"/>
          <w:szCs w:val="20"/>
          <w:lang w:val="en-US" w:eastAsia="zh-CN" w:bidi="ar-SA"/>
        </w:rPr>
        <w:t>额度有效期最长不超过3年，额度项下单笔贷款期限最长不超过12个月。</w:t>
      </w:r>
    </w:p>
    <w:p>
      <w:pPr>
        <w:keepNext w:val="0"/>
        <w:keepLines w:val="0"/>
        <w:pageBreakBefore w:val="0"/>
        <w:widowControl/>
        <w:kinsoku/>
        <w:wordWrap/>
        <w:overflowPunct/>
        <w:topLinePunct w:val="0"/>
        <w:autoSpaceDE/>
        <w:autoSpaceDN/>
        <w:bidi w:val="0"/>
        <w:adjustRightInd/>
        <w:snapToGrid/>
        <w:spacing w:beforeAutospacing="0" w:line="576" w:lineRule="exact"/>
        <w:ind w:left="0" w:leftChars="0" w:firstLine="642" w:firstLineChars="200"/>
        <w:jc w:val="left"/>
        <w:textAlignment w:val="auto"/>
        <w:outlineLvl w:val="9"/>
        <w:rPr>
          <w:rFonts w:hint="eastAsia" w:ascii="仿宋_GB2312" w:hAnsi="仿宋_GB2312" w:eastAsia="仿宋_GB2312" w:cs="仿宋_GB2312"/>
          <w:color w:val="auto"/>
          <w:kern w:val="2"/>
          <w:sz w:val="32"/>
          <w:szCs w:val="20"/>
          <w:lang w:val="en-US" w:eastAsia="zh-CN" w:bidi="ar-SA"/>
        </w:rPr>
      </w:pPr>
      <w:r>
        <w:rPr>
          <w:rFonts w:hint="eastAsia" w:ascii="仿宋_GB2312" w:hAnsi="仿宋_GB2312" w:eastAsia="仿宋_GB2312" w:cs="仿宋_GB2312"/>
          <w:b/>
          <w:bCs/>
          <w:color w:val="auto"/>
          <w:kern w:val="2"/>
          <w:sz w:val="32"/>
          <w:szCs w:val="20"/>
          <w:lang w:val="en-US" w:eastAsia="zh-CN" w:bidi="ar-SA"/>
        </w:rPr>
        <w:t>4.贷款额度：</w:t>
      </w:r>
      <w:r>
        <w:rPr>
          <w:rFonts w:hint="eastAsia" w:ascii="仿宋_GB2312" w:hAnsi="仿宋_GB2312" w:eastAsia="仿宋_GB2312" w:cs="仿宋_GB2312"/>
          <w:color w:val="auto"/>
          <w:kern w:val="2"/>
          <w:sz w:val="32"/>
          <w:szCs w:val="20"/>
          <w:lang w:val="en-US" w:eastAsia="zh-CN" w:bidi="ar-SA"/>
        </w:rPr>
        <w:t>综合考虑借款人行业竞争优势、技术水平、实际资金需求及自身经营情况等因素的基础上进行测算，具体授信方案以有权审批机构/审批人批复为准。</w:t>
      </w:r>
    </w:p>
    <w:p>
      <w:pPr>
        <w:keepNext w:val="0"/>
        <w:keepLines w:val="0"/>
        <w:pageBreakBefore w:val="0"/>
        <w:kinsoku/>
        <w:wordWrap/>
        <w:overflowPunct/>
        <w:topLinePunct w:val="0"/>
        <w:autoSpaceDE/>
        <w:autoSpaceDN/>
        <w:bidi w:val="0"/>
        <w:adjustRightInd/>
        <w:snapToGrid/>
        <w:spacing w:line="576" w:lineRule="exact"/>
        <w:ind w:firstLine="642" w:firstLineChars="200"/>
        <w:textAlignment w:val="auto"/>
        <w:outlineLvl w:val="0"/>
        <w:rPr>
          <w:rFonts w:ascii="楷体" w:hAnsi="楷体" w:eastAsia="楷体" w:cs="楷体"/>
          <w:b/>
          <w:bCs/>
          <w:szCs w:val="32"/>
        </w:rPr>
      </w:pPr>
    </w:p>
    <w:p>
      <w:pPr>
        <w:keepNext w:val="0"/>
        <w:keepLines w:val="0"/>
        <w:pageBreakBefore w:val="0"/>
        <w:kinsoku/>
        <w:wordWrap/>
        <w:overflowPunct/>
        <w:topLinePunct w:val="0"/>
        <w:autoSpaceDE/>
        <w:autoSpaceDN/>
        <w:bidi w:val="0"/>
        <w:adjustRightInd/>
        <w:snapToGrid/>
        <w:spacing w:line="576" w:lineRule="exact"/>
        <w:ind w:firstLine="642" w:firstLineChars="200"/>
        <w:textAlignment w:val="auto"/>
        <w:outlineLvl w:val="0"/>
        <w:rPr>
          <w:rFonts w:ascii="楷体" w:hAnsi="楷体" w:eastAsia="楷体" w:cs="楷体"/>
          <w:b/>
          <w:bCs/>
          <w:szCs w:val="32"/>
        </w:rPr>
      </w:pPr>
      <w:bookmarkStart w:id="223" w:name="_Toc1010388994"/>
      <w:bookmarkStart w:id="224" w:name="_Toc7791"/>
      <w:bookmarkStart w:id="225" w:name="_Toc384431039"/>
      <w:r>
        <w:rPr>
          <w:rFonts w:hint="eastAsia" w:ascii="楷体" w:hAnsi="楷体" w:eastAsia="楷体" w:cs="楷体"/>
          <w:b/>
          <w:bCs/>
          <w:szCs w:val="32"/>
        </w:rPr>
        <w:t>（三）小微企业知识产权质押贷款</w:t>
      </w:r>
      <w:bookmarkEnd w:id="223"/>
      <w:bookmarkEnd w:id="224"/>
      <w:bookmarkEnd w:id="225"/>
    </w:p>
    <w:p>
      <w:pPr>
        <w:keepNext w:val="0"/>
        <w:keepLines w:val="0"/>
        <w:pageBreakBefore w:val="0"/>
        <w:kinsoku/>
        <w:wordWrap/>
        <w:overflowPunct/>
        <w:topLinePunct w:val="0"/>
        <w:autoSpaceDE/>
        <w:autoSpaceDN/>
        <w:bidi w:val="0"/>
        <w:adjustRightInd/>
        <w:snapToGrid/>
        <w:spacing w:line="576" w:lineRule="exact"/>
        <w:ind w:firstLine="642"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 xml:space="preserve">光大银行为充分利用知识产权的融资担保价值，拓宽小微企业融资渠道，满足优质小微企业客户需求，向融资人发放的，由授信申请人以其自身或第三方拥有的知识产权作为质押物，直接或组合运用不动产抵押、第三方保证、其他资产抵质押等担保方式，用于满足融资人生产经营过程中正常资金需求的人民币短期贷款业务。 </w:t>
      </w:r>
    </w:p>
    <w:p>
      <w:pPr>
        <w:keepNext w:val="0"/>
        <w:keepLines w:val="0"/>
        <w:pageBreakBefore w:val="0"/>
        <w:kinsoku/>
        <w:wordWrap/>
        <w:overflowPunct/>
        <w:topLinePunct w:val="0"/>
        <w:autoSpaceDE/>
        <w:autoSpaceDN/>
        <w:bidi w:val="0"/>
        <w:adjustRightInd/>
        <w:snapToGrid/>
        <w:spacing w:line="576" w:lineRule="exact"/>
        <w:ind w:firstLine="642" w:firstLineChars="200"/>
        <w:textAlignment w:val="auto"/>
        <w:rPr>
          <w:rFonts w:eastAsia="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适用于能提供境内个人、企业或其他组织合法所有、能够办理质押登记、依法可以转让的注册商标专用权（以下简称商标权）、专利权、著作权等知识产权中的财产权质押的企业。</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left"/>
        <w:textAlignment w:val="auto"/>
        <w:rPr>
          <w:rFonts w:ascii="仿宋_GB2312" w:hAnsi="仿宋_GB2312" w:eastAsia="仿宋_GB2312" w:cs="仿宋_GB2312"/>
          <w:szCs w:val="20"/>
        </w:rPr>
      </w:pPr>
      <w:r>
        <w:rPr>
          <w:rFonts w:hint="eastAsia" w:ascii="仿宋_GB2312" w:hAnsi="仿宋_GB2312" w:eastAsia="仿宋_GB2312" w:cs="仿宋_GB2312"/>
          <w:b/>
          <w:bCs/>
          <w:szCs w:val="20"/>
          <w:lang w:val="en-US" w:eastAsia="zh-CN"/>
        </w:rPr>
        <w:t>3.</w:t>
      </w:r>
      <w:r>
        <w:rPr>
          <w:rFonts w:hint="eastAsia" w:ascii="仿宋_GB2312" w:hAnsi="仿宋_GB2312" w:eastAsia="仿宋_GB2312" w:cs="仿宋_GB2312"/>
          <w:b/>
          <w:bCs/>
          <w:szCs w:val="20"/>
        </w:rPr>
        <w:t>贷款期限：</w:t>
      </w:r>
      <w:r>
        <w:rPr>
          <w:rFonts w:hint="eastAsia" w:ascii="仿宋_GB2312" w:hAnsi="仿宋_GB2312" w:eastAsia="仿宋_GB2312" w:cs="仿宋_GB2312"/>
          <w:szCs w:val="20"/>
        </w:rPr>
        <w:t>额度有效期最长1年。</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left"/>
        <w:textAlignment w:val="auto"/>
        <w:rPr>
          <w:rFonts w:hint="eastAsia" w:ascii="仿宋" w:hAnsi="仿宋" w:eastAsia="仿宋" w:cs="仿宋"/>
          <w:b/>
          <w:szCs w:val="32"/>
          <w:lang w:val="en-US" w:eastAsia="zh-CN"/>
        </w:rPr>
      </w:pPr>
      <w:r>
        <w:rPr>
          <w:rFonts w:hint="eastAsia" w:ascii="仿宋_GB2312" w:hAnsi="仿宋_GB2312" w:eastAsia="仿宋_GB2312" w:cs="仿宋_GB2312"/>
          <w:b/>
          <w:bCs/>
          <w:szCs w:val="20"/>
          <w:lang w:val="en-US" w:eastAsia="zh-CN"/>
        </w:rPr>
        <w:t>4.</w:t>
      </w:r>
      <w:r>
        <w:rPr>
          <w:rFonts w:hint="eastAsia" w:ascii="仿宋_GB2312" w:hAnsi="仿宋_GB2312" w:eastAsia="仿宋_GB2312" w:cs="仿宋_GB2312"/>
          <w:b/>
          <w:bCs/>
          <w:szCs w:val="20"/>
        </w:rPr>
        <w:t>贷款额度：</w:t>
      </w:r>
      <w:r>
        <w:rPr>
          <w:rFonts w:hint="eastAsia" w:ascii="仿宋_GB2312" w:hAnsi="仿宋_GB2312" w:eastAsia="仿宋_GB2312" w:cs="仿宋_GB2312"/>
          <w:szCs w:val="20"/>
        </w:rPr>
        <w:t>单户授信金额</w:t>
      </w:r>
      <w:r>
        <w:rPr>
          <w:rFonts w:hint="eastAsia" w:ascii="仿宋_GB2312" w:hAnsi="仿宋_GB2312" w:eastAsia="仿宋_GB2312" w:cs="仿宋_GB2312"/>
          <w:kern w:val="0"/>
          <w:szCs w:val="32"/>
        </w:rPr>
        <w:t>最高可达</w:t>
      </w:r>
      <w:r>
        <w:rPr>
          <w:rFonts w:hint="eastAsia" w:ascii="仿宋_GB2312" w:hAnsi="仿宋_GB2312" w:eastAsia="仿宋_GB2312" w:cs="仿宋_GB2312"/>
          <w:szCs w:val="20"/>
        </w:rPr>
        <w:t>1000万元。</w:t>
      </w:r>
    </w:p>
    <w:p>
      <w:pPr>
        <w:pStyle w:val="7"/>
        <w:ind w:firstLine="720"/>
        <w:outlineLvl w:val="0"/>
        <w:rPr>
          <w:rFonts w:hint="default"/>
          <w:sz w:val="36"/>
          <w:szCs w:val="36"/>
        </w:rPr>
      </w:pPr>
      <w:bookmarkStart w:id="226" w:name="_Toc30853"/>
      <w:bookmarkStart w:id="227" w:name="_Toc1583463768"/>
      <w:bookmarkStart w:id="228" w:name="_Toc10130"/>
      <w:bookmarkStart w:id="229" w:name="_Toc11886"/>
      <w:bookmarkStart w:id="230" w:name="_Toc28740"/>
      <w:bookmarkStart w:id="231" w:name="_Toc25386"/>
      <w:r>
        <w:rPr>
          <w:sz w:val="36"/>
          <w:szCs w:val="36"/>
        </w:rPr>
        <w:t>十</w:t>
      </w:r>
      <w:r>
        <w:rPr>
          <w:rFonts w:hint="eastAsia"/>
          <w:sz w:val="36"/>
          <w:szCs w:val="36"/>
          <w:lang w:val="en-US" w:eastAsia="zh-CN"/>
        </w:rPr>
        <w:t>五</w:t>
      </w:r>
      <w:r>
        <w:rPr>
          <w:sz w:val="36"/>
          <w:szCs w:val="36"/>
        </w:rPr>
        <w:t>、招商银行“专精特新”企业专属金融产品</w:t>
      </w:r>
      <w:bookmarkEnd w:id="226"/>
      <w:bookmarkEnd w:id="227"/>
    </w:p>
    <w:p>
      <w:pPr>
        <w:tabs>
          <w:tab w:val="left" w:pos="210"/>
        </w:tabs>
        <w:spacing w:line="600" w:lineRule="exact"/>
        <w:rPr>
          <w:rFonts w:ascii="仿宋_GB2312" w:hAnsi="仿宋_GB2312" w:eastAsia="仿宋_GB2312" w:cs="仿宋_GB2312"/>
          <w:bCs/>
          <w:color w:val="0000FF"/>
          <w:szCs w:val="32"/>
        </w:rPr>
      </w:pPr>
    </w:p>
    <w:p>
      <w:pPr>
        <w:tabs>
          <w:tab w:val="left" w:pos="210"/>
        </w:tabs>
        <w:spacing w:line="600" w:lineRule="exact"/>
        <w:ind w:firstLine="642" w:firstLineChars="200"/>
        <w:outlineLvl w:val="0"/>
        <w:rPr>
          <w:rFonts w:ascii="楷体" w:hAnsi="楷体" w:eastAsia="楷体" w:cs="楷体"/>
          <w:b/>
          <w:szCs w:val="32"/>
        </w:rPr>
      </w:pPr>
      <w:bookmarkStart w:id="232" w:name="_Toc1124203661"/>
      <w:bookmarkStart w:id="233" w:name="_Toc17655"/>
      <w:bookmarkStart w:id="234" w:name="_Toc5811"/>
      <w:bookmarkStart w:id="235" w:name="_Toc32522"/>
      <w:bookmarkStart w:id="236" w:name="_Toc79758544"/>
      <w:bookmarkStart w:id="237" w:name="_Toc12835"/>
      <w:r>
        <w:rPr>
          <w:rFonts w:hint="eastAsia" w:ascii="楷体" w:hAnsi="楷体" w:eastAsia="楷体" w:cs="楷体"/>
          <w:b/>
          <w:szCs w:val="32"/>
        </w:rPr>
        <w:t>（一）科创招企贷</w:t>
      </w:r>
      <w:bookmarkEnd w:id="232"/>
      <w:bookmarkEnd w:id="233"/>
      <w:bookmarkEnd w:id="234"/>
      <w:bookmarkEnd w:id="235"/>
      <w:bookmarkEnd w:id="236"/>
      <w:bookmarkEnd w:id="237"/>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招商银行</w:t>
      </w:r>
      <w:r>
        <w:rPr>
          <w:rFonts w:hint="eastAsia" w:ascii="仿宋_GB2312" w:hAnsi="仿宋_GB2312" w:eastAsia="仿宋_GB2312" w:cs="仿宋_GB2312"/>
          <w:kern w:val="0"/>
          <w:szCs w:val="32"/>
        </w:rPr>
        <w:t>秉承“好结算就能贷”的服务理念，基于企业工商、征信、税务等数据，为符合“三好评价”的科创企业提供“短期、小额、高频”的线上化融资产品。</w:t>
      </w:r>
    </w:p>
    <w:p>
      <w:pPr>
        <w:spacing w:line="600" w:lineRule="exact"/>
        <w:ind w:firstLine="642" w:firstLineChars="200"/>
        <w:rPr>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拥有好结算、好信用、好纳税的“三好评价”企业。</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产品要素：</w:t>
      </w:r>
      <w:r>
        <w:rPr>
          <w:rFonts w:hint="eastAsia" w:ascii="仿宋_GB2312" w:hAnsi="仿宋_GB2312" w:eastAsia="仿宋_GB2312" w:cs="仿宋_GB2312"/>
          <w:kern w:val="0"/>
          <w:szCs w:val="32"/>
        </w:rPr>
        <w:t>信用额度最高300万元；全流程线上化操作；自动审批，最快1分钟完成提款到账；使用灵活，贷款随借随还；额度期限1年，单笔业务最长6个月。</w:t>
      </w:r>
    </w:p>
    <w:p>
      <w:pPr>
        <w:spacing w:line="600" w:lineRule="exact"/>
        <w:ind w:firstLine="640" w:firstLineChars="200"/>
        <w:rPr>
          <w:szCs w:val="32"/>
        </w:rPr>
      </w:pPr>
    </w:p>
    <w:p>
      <w:pPr>
        <w:tabs>
          <w:tab w:val="left" w:pos="210"/>
        </w:tabs>
        <w:spacing w:line="600" w:lineRule="exact"/>
        <w:ind w:firstLine="642" w:firstLineChars="200"/>
        <w:outlineLvl w:val="0"/>
        <w:rPr>
          <w:rFonts w:ascii="楷体" w:hAnsi="楷体" w:eastAsia="楷体" w:cs="楷体"/>
          <w:b/>
          <w:szCs w:val="32"/>
        </w:rPr>
      </w:pPr>
      <w:bookmarkStart w:id="238" w:name="_Toc9655"/>
      <w:bookmarkStart w:id="239" w:name="_Toc2267"/>
      <w:bookmarkStart w:id="240" w:name="_Toc548174327"/>
      <w:bookmarkStart w:id="241" w:name="_Toc16758"/>
      <w:bookmarkStart w:id="242" w:name="_Toc8691"/>
      <w:bookmarkStart w:id="243" w:name="_Toc1422357732"/>
      <w:r>
        <w:rPr>
          <w:rFonts w:hint="eastAsia" w:ascii="楷体" w:hAnsi="楷体" w:eastAsia="楷体" w:cs="楷体"/>
          <w:b/>
          <w:szCs w:val="32"/>
        </w:rPr>
        <w:t>（二）科创积分贷</w:t>
      </w:r>
      <w:bookmarkEnd w:id="238"/>
      <w:bookmarkEnd w:id="239"/>
      <w:bookmarkEnd w:id="240"/>
      <w:bookmarkEnd w:id="241"/>
      <w:bookmarkEnd w:id="242"/>
      <w:bookmarkEnd w:id="243"/>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招商银行</w:t>
      </w:r>
      <w:r>
        <w:rPr>
          <w:rFonts w:hint="eastAsia" w:ascii="仿宋_GB2312" w:hAnsi="仿宋_GB2312" w:eastAsia="仿宋_GB2312" w:cs="仿宋_GB2312"/>
          <w:kern w:val="0"/>
          <w:szCs w:val="32"/>
        </w:rPr>
        <w:t>秉承“好资质就能贷”的服务理念，依据科创属性大数据建立评价体系，聚焦创新能力强、成长潜力高的好资质企业的短期资金周转需求。</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获得政府创新积分评价、专精特新成长潜力评价、招行科创资质分评价之一的科创企业。</w:t>
      </w:r>
    </w:p>
    <w:p>
      <w:pPr>
        <w:spacing w:line="600" w:lineRule="exact"/>
        <w:ind w:firstLine="642" w:firstLineChars="200"/>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产品要素：</w:t>
      </w:r>
      <w:r>
        <w:rPr>
          <w:rFonts w:hint="eastAsia"/>
        </w:rPr>
        <w:t>信用额度最高1500万元；根据企业科创属性设计模型，便于科创企业获得理想的融资额度，提高全流程业务效率；额度期限</w:t>
      </w:r>
      <w:r>
        <w:rPr>
          <w:rFonts w:hint="eastAsia" w:ascii="仿宋_GB2312" w:hAnsi="仿宋_GB2312" w:eastAsia="仿宋_GB2312" w:cs="仿宋_GB2312"/>
        </w:rPr>
        <w:t>1</w:t>
      </w:r>
      <w:r>
        <w:rPr>
          <w:rFonts w:hint="eastAsia"/>
        </w:rPr>
        <w:t>年。</w:t>
      </w:r>
    </w:p>
    <w:p>
      <w:pPr>
        <w:pStyle w:val="2"/>
        <w:spacing w:before="0" w:beforeAutospacing="0" w:after="0" w:line="600" w:lineRule="exact"/>
        <w:ind w:left="640" w:firstLine="640"/>
      </w:pPr>
    </w:p>
    <w:p>
      <w:pPr>
        <w:tabs>
          <w:tab w:val="left" w:pos="210"/>
        </w:tabs>
        <w:spacing w:line="600" w:lineRule="exact"/>
        <w:ind w:firstLine="642" w:firstLineChars="200"/>
        <w:outlineLvl w:val="0"/>
        <w:rPr>
          <w:rFonts w:ascii="楷体" w:hAnsi="楷体" w:eastAsia="楷体" w:cs="楷体"/>
          <w:b/>
          <w:szCs w:val="32"/>
        </w:rPr>
      </w:pPr>
      <w:bookmarkStart w:id="244" w:name="_Toc1602431370"/>
      <w:bookmarkStart w:id="245" w:name="_Toc681170186"/>
      <w:bookmarkStart w:id="246" w:name="_Toc3270"/>
      <w:bookmarkStart w:id="247" w:name="_Toc25738"/>
      <w:bookmarkStart w:id="248" w:name="_Toc14321"/>
      <w:bookmarkStart w:id="249" w:name="_Toc4438"/>
      <w:r>
        <w:rPr>
          <w:rFonts w:hint="eastAsia" w:ascii="楷体" w:hAnsi="楷体" w:eastAsia="楷体" w:cs="楷体"/>
          <w:b/>
          <w:szCs w:val="32"/>
        </w:rPr>
        <w:t>（三）科创PE贷</w:t>
      </w:r>
      <w:bookmarkEnd w:id="244"/>
      <w:bookmarkEnd w:id="245"/>
      <w:bookmarkEnd w:id="246"/>
      <w:bookmarkEnd w:id="247"/>
      <w:bookmarkEnd w:id="248"/>
      <w:bookmarkEnd w:id="249"/>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招商银行</w:t>
      </w:r>
      <w:r>
        <w:rPr>
          <w:rFonts w:hint="eastAsia" w:ascii="仿宋_GB2312" w:hAnsi="仿宋_GB2312" w:eastAsia="仿宋_GB2312" w:cs="仿宋_GB2312"/>
          <w:kern w:val="0"/>
          <w:szCs w:val="32"/>
        </w:rPr>
        <w:t>秉承“好投资就能贷”的服务理念，聚焦头部私募、产业投资、政府引导等优质投资机构及基金已投企业的短期资金周转需求。</w:t>
      </w:r>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优质投资机构的已投企业。</w:t>
      </w:r>
    </w:p>
    <w:p>
      <w:pPr>
        <w:spacing w:line="600" w:lineRule="exact"/>
        <w:ind w:firstLine="642" w:firstLineChars="200"/>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产品要素：</w:t>
      </w:r>
      <w:r>
        <w:rPr>
          <w:rFonts w:hint="eastAsia"/>
        </w:rPr>
        <w:t>信用额度最高1000万元；借助获得股权投资的契机，少收入、少利润的初创企业可便利地获得信用融资；额度期</w:t>
      </w:r>
      <w:r>
        <w:rPr>
          <w:rFonts w:hint="eastAsia" w:ascii="仿宋_GB2312" w:hAnsi="仿宋_GB2312" w:eastAsia="仿宋_GB2312" w:cs="仿宋_GB2312"/>
        </w:rPr>
        <w:t>限1</w:t>
      </w:r>
      <w:r>
        <w:rPr>
          <w:rFonts w:hint="eastAsia"/>
        </w:rPr>
        <w:t>年。</w:t>
      </w:r>
    </w:p>
    <w:p>
      <w:pPr>
        <w:pStyle w:val="4"/>
        <w:spacing w:line="600" w:lineRule="exact"/>
        <w:rPr>
          <w:rFonts w:ascii="仿宋_GB2312" w:hAnsi="仿宋_GB2312" w:eastAsia="仿宋_GB2312" w:cs="仿宋_GB2312"/>
          <w:b/>
          <w:bCs/>
        </w:rPr>
      </w:pPr>
    </w:p>
    <w:p>
      <w:pPr>
        <w:tabs>
          <w:tab w:val="left" w:pos="210"/>
        </w:tabs>
        <w:spacing w:line="600" w:lineRule="exact"/>
        <w:ind w:firstLine="642" w:firstLineChars="200"/>
        <w:outlineLvl w:val="0"/>
        <w:rPr>
          <w:rFonts w:ascii="楷体" w:hAnsi="楷体" w:eastAsia="楷体" w:cs="楷体"/>
          <w:b/>
          <w:szCs w:val="32"/>
        </w:rPr>
      </w:pPr>
      <w:bookmarkStart w:id="250" w:name="_Toc2118"/>
      <w:bookmarkStart w:id="251" w:name="_Toc4002"/>
      <w:bookmarkStart w:id="252" w:name="_Toc1135005113"/>
      <w:bookmarkStart w:id="253" w:name="_Toc300236843"/>
      <w:bookmarkStart w:id="254" w:name="_Toc6308"/>
      <w:bookmarkStart w:id="255" w:name="_Toc22814"/>
      <w:r>
        <w:rPr>
          <w:rFonts w:hint="eastAsia" w:ascii="楷体" w:hAnsi="楷体" w:eastAsia="楷体" w:cs="楷体"/>
          <w:b/>
          <w:szCs w:val="32"/>
        </w:rPr>
        <w:t>（四）科创园区贷</w:t>
      </w:r>
      <w:bookmarkEnd w:id="250"/>
      <w:bookmarkEnd w:id="251"/>
      <w:bookmarkEnd w:id="252"/>
      <w:bookmarkEnd w:id="253"/>
      <w:bookmarkEnd w:id="254"/>
      <w:bookmarkEnd w:id="255"/>
    </w:p>
    <w:p>
      <w:pPr>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招商银行</w:t>
      </w:r>
      <w:r>
        <w:rPr>
          <w:rFonts w:hint="eastAsia" w:ascii="仿宋_GB2312" w:hAnsi="仿宋_GB2312" w:eastAsia="仿宋_GB2312" w:cs="仿宋_GB2312"/>
          <w:kern w:val="0"/>
          <w:szCs w:val="32"/>
        </w:rPr>
        <w:t>秉承“好园区就能贷”的服务理念，聚焦科创属性强、产业特征明显的战略新兴产业园区入园企业的短期资金周转需求。</w:t>
      </w:r>
    </w:p>
    <w:p>
      <w:pPr>
        <w:spacing w:line="600" w:lineRule="exact"/>
        <w:ind w:firstLine="642" w:firstLineChars="200"/>
        <w:rPr>
          <w:rFonts w:eastAsia="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kern w:val="0"/>
          <w:szCs w:val="32"/>
        </w:rPr>
        <w:t>战略新兴产业园区的入园企业。</w:t>
      </w:r>
    </w:p>
    <w:p>
      <w:pPr>
        <w:pStyle w:val="4"/>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产品特点：</w:t>
      </w:r>
      <w:r>
        <w:rPr>
          <w:rFonts w:hint="eastAsia" w:ascii="仿宋_GB2312" w:hAnsi="仿宋_GB2312" w:eastAsia="仿宋_GB2312" w:cs="仿宋_GB2312"/>
          <w:kern w:val="0"/>
          <w:szCs w:val="32"/>
        </w:rPr>
        <w:t>信用额度最高1000万元；额度期限1年。</w:t>
      </w: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36"/>
          <w:szCs w:val="36"/>
          <w:highlight w:val="none"/>
        </w:rPr>
      </w:pPr>
    </w:p>
    <w:p>
      <w:pPr>
        <w:pStyle w:val="5"/>
        <w:pageBreakBefore w:val="0"/>
        <w:widowControl w:val="0"/>
        <w:kinsoku/>
        <w:wordWrap/>
        <w:overflowPunct/>
        <w:topLinePunct w:val="0"/>
        <w:autoSpaceDE/>
        <w:autoSpaceDN/>
        <w:bidi w:val="0"/>
        <w:adjustRightInd/>
        <w:snapToGrid/>
        <w:spacing w:before="0" w:beforeAutospacing="0" w:after="0" w:line="600" w:lineRule="exact"/>
        <w:textAlignment w:val="auto"/>
        <w:rPr>
          <w:rFonts w:hint="eastAsia" w:ascii="黑体" w:hAnsi="黑体" w:eastAsia="黑体" w:cs="黑体"/>
          <w:sz w:val="36"/>
          <w:szCs w:val="36"/>
          <w:highlight w:val="none"/>
        </w:rPr>
      </w:pPr>
      <w:bookmarkStart w:id="256" w:name="_Toc15227"/>
      <w:bookmarkStart w:id="257" w:name="_Toc18145"/>
      <w:bookmarkStart w:id="258" w:name="_Toc24245"/>
      <w:bookmarkStart w:id="259" w:name="_Toc612283700"/>
      <w:bookmarkStart w:id="260" w:name="_Toc14560"/>
      <w:r>
        <w:rPr>
          <w:rFonts w:hint="eastAsia" w:ascii="黑体" w:hAnsi="黑体" w:eastAsia="黑体" w:cs="黑体"/>
          <w:sz w:val="36"/>
          <w:szCs w:val="36"/>
          <w:highlight w:val="none"/>
          <w:lang w:eastAsia="zh-CN"/>
        </w:rPr>
        <w:t>十六、</w:t>
      </w:r>
      <w:r>
        <w:rPr>
          <w:rFonts w:hint="eastAsia" w:ascii="黑体" w:hAnsi="黑体" w:eastAsia="黑体" w:cs="黑体"/>
          <w:sz w:val="36"/>
          <w:szCs w:val="36"/>
          <w:highlight w:val="none"/>
        </w:rPr>
        <w:t>民生银行</w:t>
      </w:r>
      <w:r>
        <w:rPr>
          <w:rFonts w:hint="eastAsia" w:ascii="黑体" w:hAnsi="黑体" w:eastAsia="黑体" w:cs="黑体"/>
          <w:sz w:val="36"/>
          <w:szCs w:val="36"/>
          <w:highlight w:val="none"/>
          <w:lang w:val="en-US" w:eastAsia="zh-CN"/>
        </w:rPr>
        <w:t>“专精特新”企业</w:t>
      </w:r>
      <w:r>
        <w:rPr>
          <w:rFonts w:hint="eastAsia" w:ascii="黑体" w:hAnsi="黑体" w:eastAsia="黑体" w:cs="黑体"/>
          <w:sz w:val="36"/>
          <w:szCs w:val="36"/>
          <w:highlight w:val="none"/>
        </w:rPr>
        <w:t>金融服务产品</w:t>
      </w:r>
      <w:bookmarkEnd w:id="256"/>
      <w:bookmarkEnd w:id="257"/>
      <w:bookmarkEnd w:id="258"/>
      <w:bookmarkEnd w:id="259"/>
    </w:p>
    <w:p>
      <w:pPr>
        <w:pageBreakBefore w:val="0"/>
        <w:widowControl w:val="0"/>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lang w:val="en-US" w:eastAsia="zh-CN"/>
        </w:rPr>
      </w:pP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易融通</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信用类</w:t>
      </w:r>
    </w:p>
    <w:p>
      <w:pPr>
        <w:pageBreakBefore w:val="0"/>
        <w:widowControl w:val="0"/>
        <w:numPr>
          <w:ilvl w:val="0"/>
          <w:numId w:val="0"/>
        </w:numPr>
        <w:kinsoku/>
        <w:wordWrap/>
        <w:overflowPunct/>
        <w:topLinePunct w:val="0"/>
        <w:autoSpaceDE/>
        <w:autoSpaceDN/>
        <w:bidi w:val="0"/>
        <w:adjustRightInd/>
        <w:snapToGrid/>
        <w:spacing w:beforeAutospacing="0" w:line="60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（1）易创信用贷：</w:t>
      </w:r>
      <w:r>
        <w:rPr>
          <w:rFonts w:hint="eastAsia" w:ascii="仿宋_GB2312" w:hAnsi="仿宋_GB2312" w:eastAsia="仿宋_GB2312" w:cs="仿宋_GB2312"/>
          <w:sz w:val="32"/>
          <w:szCs w:val="32"/>
          <w:highlight w:val="none"/>
        </w:rPr>
        <w:t>挖掘企业价值，激发市场主体活力，为优质中小科创企业提供真正的信用贷款服务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专属绿色审批通道，放款快</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专项定价支持，费用低</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集聚生态服务资源，服务更全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授信额度最高可达3000万元，融资期限最长达3年</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易创生态贷：依据银行自身独立风险判断，借力北交所生态圈合作机构的风险识别、产业赋能和风险补偿能力，在专业化风险判断基础上为企业发放的贷款服务。综合判断，强化赋能，提供多层次全周期金融服务；投贷联动，搭建民生“易创”联盟股权融资平台，200+优质投资机构，精准嫁接金融市场资源。</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质押类</w:t>
      </w:r>
    </w:p>
    <w:p>
      <w:pPr>
        <w:pageBreakBefore w:val="0"/>
        <w:widowControl w:val="0"/>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股权质押贷</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rPr>
        <w:t>企业股东将其自持标的企业股权或股票质押作为担保的贷款服务</w:t>
      </w:r>
      <w:r>
        <w:rPr>
          <w:rFonts w:hint="eastAsia" w:ascii="仿宋_GB2312" w:hAnsi="仿宋_GB2312" w:eastAsia="仿宋_GB2312" w:cs="仿宋_GB2312"/>
          <w:sz w:val="32"/>
          <w:szCs w:val="32"/>
          <w:highlight w:val="none"/>
          <w:lang w:val="en-US" w:eastAsia="zh-CN"/>
        </w:rPr>
        <w:t>;认可非上市公司股权，提升融资额度;无需提供房产等传统固定资产作为抵押物进行强担保;避免增资等股权类融资对企业股东持股比例的稀释。</w:t>
      </w:r>
    </w:p>
    <w:p>
      <w:pPr>
        <w:pageBreakBefore w:val="0"/>
        <w:widowControl w:val="0"/>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知识产权质押贷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放大创新价值，提升产业创新能力，通过质押企业在细分领域领先且具有竞争力的核心知识产权获得的贷款服务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质押率上限50%,融资期限最长3年。</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场景类</w:t>
      </w:r>
    </w:p>
    <w:p>
      <w:pPr>
        <w:pageBreakBefore w:val="0"/>
        <w:widowControl w:val="0"/>
        <w:kinsoku/>
        <w:wordWrap/>
        <w:overflowPunct/>
        <w:topLinePunct w:val="0"/>
        <w:autoSpaceDE/>
        <w:autoSpaceDN/>
        <w:bidi w:val="0"/>
        <w:adjustRightInd/>
        <w:snapToGrid/>
        <w:spacing w:beforeAutospacing="0" w:line="600" w:lineRule="exact"/>
        <w:ind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并购贷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并购方或其子公司发放的，用于支付并购交易价款和费用的贷款服务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向控股股东发放的，用于支付增持或增强实控人地位的交易价款和费用</w:t>
      </w:r>
      <w:r>
        <w:rPr>
          <w:rFonts w:hint="eastAsia" w:ascii="仿宋_GB2312" w:hAnsi="仿宋_GB2312" w:eastAsia="仿宋_GB2312" w:cs="仿宋_GB2312"/>
          <w:sz w:val="32"/>
          <w:szCs w:val="32"/>
          <w:highlight w:val="none"/>
          <w:lang w:eastAsia="zh-CN"/>
        </w:rPr>
        <w:t>。</w:t>
      </w:r>
    </w:p>
    <w:p>
      <w:pPr>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（2）厂房</w:t>
      </w:r>
      <w:r>
        <w:rPr>
          <w:rFonts w:hint="eastAsia" w:ascii="仿宋_GB2312" w:hAnsi="仿宋_GB2312" w:eastAsia="仿宋_GB2312" w:cs="仿宋_GB2312"/>
          <w:b w:val="0"/>
          <w:bCs w:val="0"/>
          <w:sz w:val="32"/>
          <w:szCs w:val="32"/>
          <w:highlight w:val="none"/>
        </w:rPr>
        <w:t>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企业因购买自用工业厂房或将自持工业厂房抵押用于经营的贷款服务</w:t>
      </w:r>
      <w:r>
        <w:rPr>
          <w:rFonts w:hint="eastAsia" w:ascii="仿宋_GB2312" w:hAnsi="仿宋_GB2312" w:eastAsia="仿宋_GB2312" w:cs="仿宋_GB2312"/>
          <w:sz w:val="32"/>
          <w:szCs w:val="32"/>
          <w:highlight w:val="none"/>
          <w:lang w:eastAsia="zh-CN"/>
        </w:rPr>
        <w:t>。</w:t>
      </w:r>
    </w:p>
    <w:p>
      <w:pPr>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（3）股权激励</w:t>
      </w:r>
      <w:r>
        <w:rPr>
          <w:rFonts w:hint="eastAsia" w:ascii="仿宋_GB2312" w:hAnsi="仿宋_GB2312" w:eastAsia="仿宋_GB2312" w:cs="仿宋_GB2312"/>
          <w:b w:val="0"/>
          <w:bCs w:val="0"/>
          <w:sz w:val="32"/>
          <w:szCs w:val="32"/>
          <w:highlight w:val="none"/>
        </w:rPr>
        <w:t>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eastAsia="zh-CN"/>
        </w:rPr>
        <w:t>赋能“人才”价值，助力“专精特新”，向企业大股东实际控制的、以股权激励为目的而设立的关联企业提供贷款，用于受让或认购该企业股权（股票）。</w:t>
      </w:r>
    </w:p>
    <w:p>
      <w:pPr>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（4）易创项目</w:t>
      </w:r>
      <w:r>
        <w:rPr>
          <w:rFonts w:hint="eastAsia" w:ascii="仿宋_GB2312" w:hAnsi="仿宋_GB2312" w:eastAsia="仿宋_GB2312" w:cs="仿宋_GB2312"/>
          <w:b w:val="0"/>
          <w:bCs w:val="0"/>
          <w:sz w:val="32"/>
          <w:szCs w:val="32"/>
          <w:highlight w:val="none"/>
        </w:rPr>
        <w:t>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eastAsia="zh-CN"/>
        </w:rPr>
        <w:t>用于建造生产线、基础设施或其他项目的贷款服务，包括对在建或已建项目的再融资。</w:t>
      </w:r>
    </w:p>
    <w:p>
      <w:pPr>
        <w:pStyle w:val="2"/>
        <w:pageBreakBefore w:val="0"/>
        <w:widowControl w:val="0"/>
        <w:kinsoku/>
        <w:wordWrap/>
        <w:overflowPunct/>
        <w:topLinePunct w:val="0"/>
        <w:autoSpaceDE/>
        <w:autoSpaceDN/>
        <w:bidi w:val="0"/>
        <w:adjustRightInd/>
        <w:snapToGrid/>
        <w:spacing w:beforeAutospacing="0"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beforeAutospacing="0" w:line="600" w:lineRule="exact"/>
        <w:ind w:left="0" w:leftChars="0" w:right="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 xml:space="preserve">  </w:t>
      </w:r>
      <w:r>
        <w:rPr>
          <w:rFonts w:hint="eastAsia" w:ascii="楷体_GB2312" w:hAnsi="楷体_GB2312" w:eastAsia="楷体_GB2312" w:cs="楷体_GB2312"/>
          <w:b/>
          <w:bCs/>
          <w:sz w:val="32"/>
          <w:szCs w:val="32"/>
          <w:highlight w:val="none"/>
          <w:lang w:val="en-US" w:eastAsia="zh-CN"/>
        </w:rPr>
        <w:t xml:space="preserve"> </w:t>
      </w:r>
      <w:r>
        <w:rPr>
          <w:rFonts w:hint="eastAsia" w:ascii="楷体_GB2312" w:hAnsi="楷体_GB2312" w:eastAsia="楷体_GB2312" w:cs="楷体_GB2312"/>
          <w:b/>
          <w:bCs/>
          <w:sz w:val="32"/>
          <w:szCs w:val="32"/>
          <w:highlight w:val="none"/>
        </w:rPr>
        <w:t xml:space="preserve"> </w:t>
      </w:r>
      <w:r>
        <w:rPr>
          <w:rFonts w:hint="eastAsia" w:ascii="楷体_GB2312" w:hAnsi="楷体_GB2312" w:eastAsia="楷体_GB2312" w:cs="楷体_GB2312"/>
          <w:b/>
          <w:bCs/>
          <w:sz w:val="32"/>
          <w:szCs w:val="32"/>
          <w:highlight w:val="none"/>
          <w:lang w:eastAsia="zh-CN"/>
        </w:rPr>
        <w:t>（二）</w:t>
      </w:r>
      <w:r>
        <w:rPr>
          <w:rFonts w:hint="eastAsia" w:ascii="楷体_GB2312" w:hAnsi="楷体_GB2312" w:eastAsia="楷体_GB2312" w:cs="楷体_GB2312"/>
          <w:b/>
          <w:bCs/>
          <w:sz w:val="32"/>
          <w:szCs w:val="32"/>
          <w:highlight w:val="none"/>
        </w:rPr>
        <w:t>易投通</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科创股权投资基金</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民生银行</w:t>
      </w:r>
      <w:r>
        <w:rPr>
          <w:rFonts w:hint="eastAsia" w:ascii="仿宋_GB2312" w:hAnsi="仿宋_GB2312" w:eastAsia="仿宋_GB2312" w:cs="仿宋_GB2312"/>
          <w:sz w:val="32"/>
          <w:szCs w:val="32"/>
          <w:highlight w:val="none"/>
        </w:rPr>
        <w:t>根据专精特新企业成长特征，通过</w:t>
      </w:r>
      <w:r>
        <w:rPr>
          <w:rFonts w:hint="eastAsia" w:ascii="仿宋_GB2312" w:hAnsi="仿宋_GB2312" w:eastAsia="仿宋_GB2312" w:cs="仿宋_GB2312"/>
          <w:sz w:val="32"/>
          <w:szCs w:val="32"/>
          <w:highlight w:val="none"/>
          <w:lang w:val="en-US" w:eastAsia="zh-CN"/>
        </w:rPr>
        <w:t>科创</w:t>
      </w:r>
      <w:r>
        <w:rPr>
          <w:rFonts w:hint="eastAsia" w:ascii="仿宋_GB2312" w:hAnsi="仿宋_GB2312" w:eastAsia="仿宋_GB2312" w:cs="仿宋_GB2312"/>
          <w:sz w:val="32"/>
          <w:szCs w:val="32"/>
          <w:highlight w:val="none"/>
        </w:rPr>
        <w:t>管理型基金、</w:t>
      </w:r>
      <w:r>
        <w:rPr>
          <w:rFonts w:hint="eastAsia" w:ascii="仿宋_GB2312" w:hAnsi="仿宋_GB2312" w:eastAsia="仿宋_GB2312" w:cs="仿宋_GB2312"/>
          <w:sz w:val="32"/>
          <w:szCs w:val="32"/>
          <w:highlight w:val="none"/>
          <w:lang w:val="en-US" w:eastAsia="zh-CN"/>
        </w:rPr>
        <w:t>优质</w:t>
      </w:r>
      <w:r>
        <w:rPr>
          <w:rFonts w:hint="eastAsia" w:ascii="仿宋_GB2312" w:hAnsi="仿宋_GB2312" w:eastAsia="仿宋_GB2312" w:cs="仿宋_GB2312"/>
          <w:sz w:val="32"/>
          <w:szCs w:val="32"/>
          <w:highlight w:val="none"/>
        </w:rPr>
        <w:t>项目型基金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理财子专项产品</w:t>
      </w:r>
      <w:r>
        <w:rPr>
          <w:rFonts w:hint="eastAsia" w:ascii="仿宋_GB2312" w:hAnsi="仿宋_GB2312" w:eastAsia="仿宋_GB2312" w:cs="仿宋_GB2312"/>
          <w:sz w:val="32"/>
          <w:szCs w:val="32"/>
          <w:highlight w:val="none"/>
        </w:rPr>
        <w:t>等，对企业进行股权投资，解决其股权资金需求。</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.股权激励/员工持股计划/</w:t>
      </w:r>
      <w:r>
        <w:rPr>
          <w:rFonts w:hint="eastAsia" w:ascii="仿宋_GB2312" w:hAnsi="仿宋_GB2312" w:eastAsia="仿宋_GB2312" w:cs="仿宋_GB2312"/>
          <w:b/>
          <w:bCs/>
          <w:sz w:val="32"/>
          <w:szCs w:val="32"/>
          <w:highlight w:val="none"/>
        </w:rPr>
        <w:t>定向增发/</w:t>
      </w:r>
      <w:r>
        <w:rPr>
          <w:rFonts w:hint="eastAsia" w:ascii="仿宋_GB2312" w:hAnsi="仿宋_GB2312" w:eastAsia="仿宋_GB2312" w:cs="仿宋_GB2312"/>
          <w:b/>
          <w:bCs/>
          <w:sz w:val="32"/>
          <w:szCs w:val="32"/>
          <w:highlight w:val="none"/>
          <w:lang w:val="en-US" w:eastAsia="zh-CN"/>
        </w:rPr>
        <w:t>可交债/可转债投资。</w:t>
      </w:r>
      <w:r>
        <w:rPr>
          <w:rFonts w:hint="eastAsia" w:ascii="仿宋_GB2312" w:hAnsi="仿宋_GB2312" w:eastAsia="仿宋_GB2312" w:cs="仿宋_GB2312"/>
          <w:sz w:val="32"/>
          <w:szCs w:val="32"/>
          <w:highlight w:val="none"/>
        </w:rPr>
        <w:t>通过理财子公司发行产品/私行代销产品募集资金，直接认购上市公司定向增发股票，参与可交债、可转债投资</w:t>
      </w:r>
      <w:r>
        <w:rPr>
          <w:rFonts w:hint="eastAsia" w:ascii="仿宋_GB2312" w:hAnsi="仿宋_GB2312" w:eastAsia="仿宋_GB2312" w:cs="仿宋_GB2312"/>
          <w:sz w:val="32"/>
          <w:szCs w:val="32"/>
          <w:highlight w:val="none"/>
          <w:lang w:eastAsia="zh-CN"/>
        </w:rPr>
        <w:t>。</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创慧通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基于</w:t>
      </w:r>
      <w:r>
        <w:rPr>
          <w:rFonts w:hint="eastAsia" w:ascii="仿宋_GB2312" w:hAnsi="仿宋_GB2312" w:eastAsia="仿宋_GB2312" w:cs="仿宋_GB2312"/>
          <w:sz w:val="32"/>
          <w:szCs w:val="32"/>
          <w:highlight w:val="none"/>
          <w:lang w:eastAsia="zh-CN"/>
        </w:rPr>
        <w:t>民生银</w:t>
      </w:r>
      <w:r>
        <w:rPr>
          <w:rFonts w:hint="eastAsia" w:ascii="仿宋_GB2312" w:hAnsi="仿宋_GB2312" w:eastAsia="仿宋_GB2312" w:cs="仿宋_GB2312"/>
          <w:sz w:val="32"/>
          <w:szCs w:val="32"/>
          <w:highlight w:val="none"/>
        </w:rPr>
        <w:t>行长期在产业链和全市场资源的能力优势，联合生态圈内包含PE/VC、产业资本、政府投资平台、券商、律所、会所等各类机构，群策群力、资源共享，为企业提供财务优化、资产并购及重组、产业发展、财富管理、融资投资等提供全流程、一体化顾问咨询服务。</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jc w:val="both"/>
        <w:textAlignment w:val="auto"/>
        <w:outlineLvl w:val="9"/>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 xml:space="preserve">    </w:t>
      </w: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创富通</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.账户管理。</w:t>
      </w:r>
      <w:r>
        <w:rPr>
          <w:rFonts w:hint="eastAsia" w:ascii="仿宋_GB2312" w:hAnsi="仿宋_GB2312" w:eastAsia="仿宋_GB2312" w:cs="仿宋_GB2312"/>
          <w:sz w:val="32"/>
          <w:szCs w:val="32"/>
          <w:highlight w:val="none"/>
          <w:lang w:eastAsia="zh-CN"/>
        </w:rPr>
        <w:t>民生银</w:t>
      </w:r>
      <w:r>
        <w:rPr>
          <w:rFonts w:hint="eastAsia" w:ascii="仿宋_GB2312" w:hAnsi="仿宋_GB2312" w:eastAsia="仿宋_GB2312" w:cs="仿宋_GB2312"/>
          <w:sz w:val="32"/>
          <w:szCs w:val="32"/>
          <w:highlight w:val="none"/>
        </w:rPr>
        <w:t>行专门提供了线上开户系统、现金管理系统、线上融资系统等便利化服务，可通过线上审查、线下交付的方式，提升了业务办理效率，可为企业提供优质的资金管理服务。</w:t>
      </w:r>
    </w:p>
    <w:p>
      <w:pPr>
        <w:pageBreakBefore w:val="0"/>
        <w:widowControl w:val="0"/>
        <w:kinsoku/>
        <w:wordWrap/>
        <w:overflowPunct/>
        <w:topLinePunct w:val="0"/>
        <w:autoSpaceDE/>
        <w:autoSpaceDN/>
        <w:bidi w:val="0"/>
        <w:adjustRightInd/>
        <w:snapToGrid/>
        <w:spacing w:beforeAutospacing="0" w:line="600" w:lineRule="exact"/>
        <w:ind w:left="0" w:leftChars="0" w:right="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.增值服务。</w:t>
      </w:r>
      <w:r>
        <w:rPr>
          <w:rFonts w:hint="eastAsia" w:ascii="仿宋_GB2312" w:hAnsi="仿宋_GB2312" w:eastAsia="仿宋_GB2312" w:cs="仿宋_GB2312"/>
          <w:b w:val="0"/>
          <w:bCs w:val="0"/>
          <w:sz w:val="32"/>
          <w:szCs w:val="32"/>
          <w:highlight w:val="none"/>
        </w:rPr>
        <w:t>对企业：</w:t>
      </w:r>
      <w:r>
        <w:rPr>
          <w:rFonts w:hint="eastAsia" w:ascii="仿宋_GB2312" w:hAnsi="仿宋_GB2312" w:eastAsia="仿宋_GB2312" w:cs="仿宋_GB2312"/>
          <w:sz w:val="32"/>
          <w:szCs w:val="32"/>
          <w:highlight w:val="none"/>
        </w:rPr>
        <w:t>提供各类盈余现金管理产品、代发工资、资金管理、定制财富产品等。对企业家：提供企业家尊享服务，包括商旅出行、高端医疗、财富产品定制等。</w:t>
      </w:r>
    </w:p>
    <w:p>
      <w:pPr>
        <w:pStyle w:val="7"/>
        <w:ind w:firstLine="720"/>
        <w:outlineLvl w:val="0"/>
        <w:rPr>
          <w:sz w:val="32"/>
          <w:szCs w:val="32"/>
          <w:highlight w:val="none"/>
        </w:rPr>
      </w:pPr>
    </w:p>
    <w:p>
      <w:pPr>
        <w:pStyle w:val="7"/>
        <w:ind w:firstLine="720"/>
        <w:outlineLvl w:val="0"/>
        <w:rPr>
          <w:sz w:val="32"/>
          <w:szCs w:val="32"/>
          <w:highlight w:val="none"/>
        </w:rPr>
      </w:pPr>
    </w:p>
    <w:p>
      <w:pPr>
        <w:pStyle w:val="7"/>
        <w:ind w:firstLine="720"/>
        <w:outlineLvl w:val="0"/>
        <w:rPr>
          <w:sz w:val="32"/>
          <w:szCs w:val="32"/>
          <w:highlight w:val="none"/>
        </w:rPr>
      </w:pPr>
    </w:p>
    <w:p>
      <w:pPr>
        <w:pStyle w:val="7"/>
        <w:ind w:firstLine="720"/>
        <w:outlineLvl w:val="0"/>
        <w:rPr>
          <w:sz w:val="32"/>
          <w:szCs w:val="32"/>
          <w:highlight w:val="none"/>
        </w:rPr>
      </w:pPr>
    </w:p>
    <w:p>
      <w:pPr>
        <w:pStyle w:val="7"/>
        <w:ind w:firstLine="720"/>
        <w:outlineLvl w:val="0"/>
        <w:rPr>
          <w:sz w:val="32"/>
          <w:szCs w:val="32"/>
          <w:highlight w:val="none"/>
        </w:rPr>
      </w:pPr>
    </w:p>
    <w:p>
      <w:pPr>
        <w:pStyle w:val="7"/>
        <w:ind w:firstLine="720"/>
        <w:outlineLvl w:val="0"/>
        <w:rPr>
          <w:sz w:val="32"/>
          <w:szCs w:val="32"/>
          <w:highlight w:val="none"/>
        </w:rPr>
      </w:pPr>
    </w:p>
    <w:p>
      <w:pPr>
        <w:pStyle w:val="7"/>
        <w:ind w:firstLine="720"/>
        <w:outlineLvl w:val="0"/>
        <w:rPr>
          <w:rFonts w:hint="default"/>
          <w:sz w:val="36"/>
          <w:szCs w:val="36"/>
        </w:rPr>
      </w:pPr>
      <w:bookmarkStart w:id="261" w:name="_Toc1175261685"/>
      <w:r>
        <w:rPr>
          <w:sz w:val="36"/>
          <w:szCs w:val="36"/>
        </w:rPr>
        <w:t>十</w:t>
      </w:r>
      <w:r>
        <w:rPr>
          <w:rFonts w:hint="eastAsia"/>
          <w:sz w:val="36"/>
          <w:szCs w:val="36"/>
          <w:lang w:val="en-US" w:eastAsia="zh-CN"/>
        </w:rPr>
        <w:t>七</w:t>
      </w:r>
      <w:r>
        <w:rPr>
          <w:sz w:val="36"/>
          <w:szCs w:val="36"/>
        </w:rPr>
        <w:t>、华夏银行“专精特新”企业专属金融产品</w:t>
      </w:r>
      <w:bookmarkEnd w:id="261"/>
    </w:p>
    <w:p>
      <w:pPr>
        <w:snapToGrid w:val="0"/>
        <w:spacing w:line="600" w:lineRule="exact"/>
        <w:rPr>
          <w:rFonts w:ascii="仿宋" w:hAnsi="仿宋" w:eastAsia="仿宋" w:cs="仿宋"/>
          <w:b/>
          <w:bCs/>
          <w:szCs w:val="32"/>
        </w:rPr>
      </w:pPr>
    </w:p>
    <w:p>
      <w:pPr>
        <w:snapToGrid w:val="0"/>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华夏银行</w:t>
      </w:r>
      <w:r>
        <w:rPr>
          <w:rFonts w:hint="eastAsia" w:ascii="仿宋_GB2312" w:hAnsi="仿宋_GB2312" w:eastAsia="仿宋_GB2312" w:cs="仿宋_GB2312"/>
          <w:kern w:val="0"/>
          <w:szCs w:val="32"/>
        </w:rPr>
        <w:t>为支持专精特新及科创等企业高质量发展，对投资机构已投资或拟投资入股的企业，在综合考虑投资机构的投资管理能力，以及融资企业未来发展前景等因素的基础上，为融资企业提供贷款支持的业务。</w:t>
      </w:r>
    </w:p>
    <w:p>
      <w:pPr>
        <w:spacing w:line="600" w:lineRule="exact"/>
        <w:ind w:firstLine="642" w:firstLineChars="200"/>
        <w:rPr>
          <w:rFonts w:ascii="仿宋_GB2312" w:hAnsi="仿宋_GB2312" w:eastAsia="仿宋_GB2312" w:cs="仿宋_GB2312"/>
          <w:szCs w:val="32"/>
        </w:rPr>
      </w:pPr>
      <w:r>
        <w:rPr>
          <w:rFonts w:hint="eastAsia" w:ascii="仿宋_GB2312" w:hAnsi="仿宋_GB2312" w:eastAsia="仿宋_GB2312" w:cs="仿宋_GB2312"/>
          <w:b/>
          <w:bCs/>
          <w:kern w:val="0"/>
          <w:szCs w:val="32"/>
          <w:lang w:val="en-US" w:eastAsia="zh-CN"/>
        </w:rPr>
        <w:t>2.</w:t>
      </w:r>
      <w:r>
        <w:rPr>
          <w:rFonts w:hint="eastAsia" w:ascii="仿宋_GB2312" w:hAnsi="仿宋_GB2312" w:eastAsia="仿宋_GB2312" w:cs="仿宋_GB2312"/>
          <w:b/>
          <w:bCs/>
          <w:kern w:val="0"/>
          <w:szCs w:val="32"/>
        </w:rPr>
        <w:t>适用对象：</w:t>
      </w:r>
      <w:r>
        <w:rPr>
          <w:rFonts w:hint="eastAsia" w:ascii="仿宋_GB2312" w:hAnsi="仿宋_GB2312" w:eastAsia="仿宋_GB2312" w:cs="仿宋_GB2312"/>
          <w:szCs w:val="32"/>
        </w:rPr>
        <w:t>投资机构已投资或拟投资入股的发展前景好，成长速度快、产业逻辑强的优质科创企业。企业经营满1年以上，符合华夏银行授信业务评级准入要求。（投资机构已投资标准：投资款已到位，工商变更登记已完成。投资机构拟投资标准：签署不可撤销的股权投资协议。）</w:t>
      </w:r>
    </w:p>
    <w:p>
      <w:pPr>
        <w:snapToGrid w:val="0"/>
        <w:spacing w:line="600" w:lineRule="exact"/>
        <w:ind w:firstLine="642" w:firstLineChars="200"/>
        <w:rPr>
          <w:rFonts w:ascii="仿宋_GB2312" w:hAnsi="仿宋_GB2312" w:eastAsia="仿宋_GB2312" w:cs="仿宋_GB2312"/>
          <w:kern w:val="0"/>
          <w:szCs w:val="32"/>
        </w:rPr>
      </w:pPr>
      <w:r>
        <w:rPr>
          <w:rFonts w:hint="eastAsia" w:ascii="仿宋_GB2312" w:hAnsi="仿宋_GB2312" w:eastAsia="仿宋_GB2312" w:cs="仿宋_GB2312"/>
          <w:b/>
          <w:bCs/>
          <w:kern w:val="0"/>
          <w:szCs w:val="32"/>
          <w:lang w:val="en-US" w:eastAsia="zh-CN"/>
        </w:rPr>
        <w:t>3.</w:t>
      </w:r>
      <w:r>
        <w:rPr>
          <w:rFonts w:hint="eastAsia" w:ascii="仿宋_GB2312" w:hAnsi="仿宋_GB2312" w:eastAsia="仿宋_GB2312" w:cs="仿宋_GB2312"/>
          <w:b/>
          <w:bCs/>
          <w:kern w:val="0"/>
          <w:szCs w:val="32"/>
        </w:rPr>
        <w:t>贷款额度：</w:t>
      </w:r>
      <w:r>
        <w:rPr>
          <w:rFonts w:hint="eastAsia" w:ascii="仿宋_GB2312" w:hAnsi="仿宋_GB2312" w:eastAsia="仿宋_GB2312" w:cs="仿宋_GB2312"/>
          <w:kern w:val="0"/>
          <w:szCs w:val="32"/>
        </w:rPr>
        <w:t>符合条件的客户，至少可按近4年内最近一期投资金额的36%获得华夏银行的信用授信，最高可按投资金额的80%获得华夏银行的信用授信，但信用授信的总金额不超过2000万元。</w:t>
      </w:r>
    </w:p>
    <w:p>
      <w:pPr>
        <w:pStyle w:val="7"/>
        <w:ind w:firstLine="720"/>
        <w:outlineLvl w:val="0"/>
        <w:rPr>
          <w:sz w:val="36"/>
          <w:szCs w:val="36"/>
        </w:rPr>
      </w:pPr>
    </w:p>
    <w:p>
      <w:pPr>
        <w:pStyle w:val="7"/>
        <w:ind w:firstLine="720"/>
        <w:outlineLvl w:val="0"/>
        <w:rPr>
          <w:sz w:val="36"/>
          <w:szCs w:val="36"/>
        </w:rPr>
      </w:pPr>
    </w:p>
    <w:p>
      <w:pPr>
        <w:pStyle w:val="7"/>
        <w:ind w:firstLine="720"/>
        <w:outlineLvl w:val="0"/>
        <w:rPr>
          <w:sz w:val="36"/>
          <w:szCs w:val="36"/>
        </w:rPr>
      </w:pPr>
    </w:p>
    <w:p>
      <w:pPr>
        <w:pStyle w:val="7"/>
        <w:ind w:firstLine="720"/>
        <w:outlineLvl w:val="0"/>
        <w:rPr>
          <w:sz w:val="36"/>
          <w:szCs w:val="36"/>
        </w:rPr>
      </w:pPr>
    </w:p>
    <w:p>
      <w:pPr>
        <w:pStyle w:val="7"/>
        <w:ind w:firstLine="720"/>
        <w:outlineLvl w:val="0"/>
        <w:rPr>
          <w:sz w:val="36"/>
          <w:szCs w:val="36"/>
        </w:rPr>
      </w:pPr>
    </w:p>
    <w:p>
      <w:pPr>
        <w:pStyle w:val="7"/>
        <w:ind w:firstLine="720"/>
        <w:outlineLvl w:val="0"/>
        <w:rPr>
          <w:sz w:val="36"/>
          <w:szCs w:val="36"/>
        </w:rPr>
      </w:pPr>
    </w:p>
    <w:p>
      <w:pPr>
        <w:pStyle w:val="7"/>
        <w:tabs>
          <w:tab w:val="left" w:pos="5760"/>
        </w:tabs>
        <w:ind w:firstLine="720"/>
        <w:outlineLvl w:val="0"/>
        <w:rPr>
          <w:rFonts w:hint="default"/>
          <w:sz w:val="36"/>
          <w:szCs w:val="36"/>
        </w:rPr>
      </w:pPr>
      <w:bookmarkStart w:id="262" w:name="_Toc591265665"/>
      <w:r>
        <w:rPr>
          <w:sz w:val="36"/>
          <w:szCs w:val="36"/>
        </w:rPr>
        <w:t>十</w:t>
      </w:r>
      <w:r>
        <w:rPr>
          <w:rFonts w:hint="eastAsia"/>
          <w:sz w:val="36"/>
          <w:szCs w:val="36"/>
          <w:lang w:val="en-US" w:eastAsia="zh-CN"/>
        </w:rPr>
        <w:t>八</w:t>
      </w:r>
      <w:r>
        <w:rPr>
          <w:sz w:val="36"/>
          <w:szCs w:val="36"/>
        </w:rPr>
        <w:t>、广发银行“专精特新”企业专属金融产品</w:t>
      </w:r>
      <w:bookmarkEnd w:id="262"/>
    </w:p>
    <w:p>
      <w:pPr>
        <w:spacing w:line="600" w:lineRule="exact"/>
        <w:rPr>
          <w:rFonts w:ascii="仿宋" w:hAnsi="仿宋" w:eastAsia="仿宋" w:cs="仿宋"/>
          <w:b/>
          <w:bCs/>
          <w:szCs w:val="32"/>
        </w:rPr>
      </w:pPr>
    </w:p>
    <w:p>
      <w:pPr>
        <w:spacing w:line="600" w:lineRule="exact"/>
        <w:ind w:firstLine="642" w:firstLineChars="200"/>
        <w:outlineLvl w:val="0"/>
        <w:rPr>
          <w:rFonts w:ascii="楷体" w:hAnsi="楷体" w:eastAsia="楷体" w:cs="楷体"/>
          <w:b/>
          <w:bCs/>
          <w:szCs w:val="32"/>
        </w:rPr>
      </w:pPr>
      <w:bookmarkStart w:id="263" w:name="_Toc8221"/>
      <w:bookmarkStart w:id="264" w:name="_Toc15477"/>
      <w:bookmarkStart w:id="265" w:name="_Toc1127087247"/>
      <w:bookmarkStart w:id="266" w:name="_Toc24564"/>
      <w:bookmarkStart w:id="267" w:name="_Toc18240"/>
      <w:bookmarkStart w:id="268" w:name="_Toc16412"/>
      <w:bookmarkStart w:id="269" w:name="_Toc22288"/>
      <w:bookmarkStart w:id="270" w:name="_Toc19111"/>
      <w:bookmarkStart w:id="271" w:name="_Toc2061072391"/>
      <w:r>
        <w:rPr>
          <w:rFonts w:hint="eastAsia" w:ascii="楷体" w:hAnsi="楷体" w:eastAsia="楷体" w:cs="楷体"/>
          <w:b/>
          <w:bCs/>
          <w:szCs w:val="32"/>
        </w:rPr>
        <w:t>（一）科技贷</w:t>
      </w:r>
      <w:bookmarkEnd w:id="263"/>
      <w:bookmarkEnd w:id="264"/>
      <w:bookmarkEnd w:id="265"/>
      <w:bookmarkEnd w:id="266"/>
      <w:bookmarkEnd w:id="267"/>
      <w:bookmarkEnd w:id="268"/>
      <w:bookmarkEnd w:id="269"/>
      <w:bookmarkEnd w:id="270"/>
      <w:bookmarkEnd w:id="271"/>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产品简介：</w:t>
      </w:r>
      <w:r>
        <w:rPr>
          <w:rFonts w:hint="eastAsia" w:ascii="仿宋_GB2312" w:hAnsi="仿宋_GB2312" w:eastAsia="仿宋_GB2312" w:cs="仿宋_GB2312"/>
        </w:rPr>
        <w:t>广发银行面向</w:t>
      </w:r>
      <w:r>
        <w:rPr>
          <w:rFonts w:hint="eastAsia" w:ascii="仿宋_GB2312" w:hAnsi="仿宋_GB2312" w:eastAsia="仿宋_GB2312" w:cs="仿宋_GB2312"/>
          <w:szCs w:val="32"/>
        </w:rPr>
        <w:t>省科技厅发布“科技贷企业库”名单内</w:t>
      </w:r>
      <w:r>
        <w:rPr>
          <w:rFonts w:hint="eastAsia" w:ascii="仿宋_GB2312" w:hAnsi="仿宋_GB2312" w:eastAsia="仿宋_GB2312" w:cs="仿宋_GB2312"/>
        </w:rPr>
        <w:t>发放的，用于满足其生产经营需求的人民币流动资金贷款。</w:t>
      </w:r>
    </w:p>
    <w:p>
      <w:pPr>
        <w:pStyle w:val="4"/>
        <w:spacing w:line="600" w:lineRule="exact"/>
        <w:ind w:firstLine="642" w:firstLineChars="200"/>
        <w:rPr>
          <w:rFonts w:ascii="仿宋" w:hAnsi="仿宋" w:eastAsia="仿宋" w:cs="仿宋"/>
          <w:szCs w:val="3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适用对象：</w:t>
      </w:r>
      <w:r>
        <w:rPr>
          <w:rFonts w:hint="eastAsia" w:ascii="仿宋_GB2312" w:hAnsi="仿宋_GB2312" w:eastAsia="仿宋_GB2312" w:cs="仿宋_GB2312"/>
          <w:szCs w:val="32"/>
        </w:rPr>
        <w:t>“科技贷企业库”名单库内企业，企业成立年限不低于2年。</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贷款期限：</w:t>
      </w:r>
      <w:r>
        <w:rPr>
          <w:rFonts w:hint="eastAsia" w:ascii="仿宋_GB2312" w:hAnsi="仿宋_GB2312" w:eastAsia="仿宋_GB2312" w:cs="仿宋_GB2312"/>
        </w:rPr>
        <w:t>额度有效期最长1年。</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贷款额度：</w:t>
      </w:r>
      <w:r>
        <w:rPr>
          <w:rFonts w:hint="eastAsia" w:ascii="仿宋_GB2312" w:hAnsi="仿宋_GB2312" w:eastAsia="仿宋_GB2312" w:cs="仿宋_GB2312"/>
        </w:rPr>
        <w:t>单户贷款额度最高2000万元。</w:t>
      </w:r>
    </w:p>
    <w:p>
      <w:pPr>
        <w:spacing w:line="600" w:lineRule="exact"/>
        <w:ind w:firstLine="642" w:firstLineChars="200"/>
        <w:outlineLvl w:val="0"/>
        <w:rPr>
          <w:rFonts w:ascii="楷体" w:hAnsi="楷体" w:eastAsia="楷体" w:cs="楷体"/>
          <w:b/>
          <w:bCs/>
          <w:szCs w:val="32"/>
        </w:rPr>
      </w:pPr>
      <w:bookmarkStart w:id="272" w:name="_Toc29370"/>
      <w:bookmarkStart w:id="273" w:name="_Toc11087"/>
      <w:bookmarkStart w:id="274" w:name="_Toc8975"/>
      <w:bookmarkStart w:id="275" w:name="_Toc1115136144"/>
      <w:bookmarkStart w:id="276" w:name="_Toc22383"/>
      <w:bookmarkStart w:id="277" w:name="_Toc28012"/>
      <w:bookmarkStart w:id="278" w:name="_Toc27366"/>
    </w:p>
    <w:p>
      <w:pPr>
        <w:spacing w:line="600" w:lineRule="exact"/>
        <w:ind w:firstLine="642" w:firstLineChars="200"/>
        <w:outlineLvl w:val="0"/>
        <w:rPr>
          <w:rFonts w:ascii="楷体" w:hAnsi="楷体" w:eastAsia="楷体" w:cs="楷体"/>
          <w:b/>
          <w:bCs/>
          <w:szCs w:val="32"/>
        </w:rPr>
      </w:pPr>
      <w:bookmarkStart w:id="279" w:name="_Toc26546"/>
      <w:bookmarkStart w:id="280" w:name="_Toc42978645"/>
      <w:r>
        <w:rPr>
          <w:rFonts w:hint="eastAsia" w:ascii="楷体" w:hAnsi="楷体" w:eastAsia="楷体" w:cs="楷体"/>
          <w:b/>
          <w:bCs/>
          <w:szCs w:val="32"/>
        </w:rPr>
        <w:t>（二）“科技E贷”</w:t>
      </w:r>
      <w:bookmarkEnd w:id="272"/>
      <w:bookmarkEnd w:id="273"/>
      <w:bookmarkEnd w:id="274"/>
      <w:bookmarkEnd w:id="275"/>
      <w:bookmarkEnd w:id="276"/>
      <w:bookmarkEnd w:id="277"/>
      <w:bookmarkEnd w:id="278"/>
      <w:bookmarkEnd w:id="279"/>
      <w:bookmarkEnd w:id="280"/>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产品简介：</w:t>
      </w:r>
      <w:r>
        <w:rPr>
          <w:rFonts w:hint="eastAsia" w:ascii="仿宋_GB2312" w:hAnsi="仿宋_GB2312" w:eastAsia="仿宋_GB2312" w:cs="仿宋_GB2312"/>
        </w:rPr>
        <w:t>广发银行面向</w:t>
      </w:r>
      <w:r>
        <w:rPr>
          <w:rFonts w:hint="eastAsia" w:ascii="仿宋_GB2312" w:hAnsi="仿宋_GB2312" w:eastAsia="仿宋_GB2312" w:cs="仿宋_GB2312"/>
          <w:szCs w:val="32"/>
        </w:rPr>
        <w:t>省科技厅发布“科技贷企业库”名单内</w:t>
      </w:r>
      <w:r>
        <w:rPr>
          <w:rFonts w:hint="eastAsia" w:ascii="仿宋_GB2312" w:hAnsi="仿宋_GB2312" w:eastAsia="仿宋_GB2312" w:cs="仿宋_GB2312"/>
        </w:rPr>
        <w:t>发放的，贷款申请、审批、发放、提款均为线上操作，满足科技型企业小额、便捷的金融需求。</w:t>
      </w:r>
    </w:p>
    <w:p>
      <w:pPr>
        <w:pStyle w:val="4"/>
        <w:spacing w:line="600" w:lineRule="exact"/>
        <w:ind w:firstLine="642" w:firstLineChars="200"/>
        <w:rPr>
          <w:rFonts w:ascii="仿宋" w:hAnsi="仿宋" w:eastAsia="仿宋" w:cs="仿宋"/>
          <w:szCs w:val="3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目标客户：</w:t>
      </w:r>
      <w:r>
        <w:rPr>
          <w:rFonts w:hint="eastAsia" w:ascii="仿宋_GB2312" w:hAnsi="仿宋_GB2312" w:eastAsia="仿宋_GB2312" w:cs="仿宋_GB2312"/>
          <w:szCs w:val="32"/>
        </w:rPr>
        <w:t>“科技贷企业库”名单库内省高、国高、专精特新及小巨人企业，企业成立年限不低于2年。</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贷款期限：</w:t>
      </w:r>
      <w:r>
        <w:rPr>
          <w:rFonts w:hint="eastAsia" w:ascii="仿宋_GB2312" w:hAnsi="仿宋_GB2312" w:eastAsia="仿宋_GB2312" w:cs="仿宋_GB2312"/>
        </w:rPr>
        <w:t>额度有效期最长1年。</w:t>
      </w:r>
    </w:p>
    <w:p>
      <w:pPr>
        <w:pStyle w:val="4"/>
        <w:spacing w:line="600" w:lineRule="exact"/>
        <w:ind w:firstLine="642" w:firstLineChars="200"/>
        <w:rPr>
          <w:rFonts w:ascii="仿宋" w:hAnsi="仿宋" w:eastAsia="仿宋" w:cs="仿宋"/>
          <w:b/>
          <w:szCs w:val="32"/>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贷款额度：</w:t>
      </w:r>
      <w:r>
        <w:rPr>
          <w:rFonts w:hint="eastAsia" w:ascii="仿宋_GB2312" w:hAnsi="仿宋_GB2312" w:eastAsia="仿宋_GB2312" w:cs="仿宋_GB2312"/>
        </w:rPr>
        <w:t>单户贷款额度最高500万元。</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业务流程：</w:t>
      </w:r>
      <w:r>
        <w:rPr>
          <w:rFonts w:hint="eastAsia" w:ascii="仿宋_GB2312" w:hAnsi="仿宋_GB2312" w:eastAsia="仿宋_GB2312" w:cs="仿宋_GB2312"/>
        </w:rPr>
        <w:t>客户提交申请→系统生成预授信→客户经理收集材料→在线审批生成额度→客户在线签约及提用贷款。</w:t>
      </w:r>
    </w:p>
    <w:p>
      <w:pPr>
        <w:pStyle w:val="7"/>
        <w:ind w:firstLine="720"/>
        <w:outlineLvl w:val="0"/>
        <w:rPr>
          <w:b/>
          <w:bCs/>
          <w:sz w:val="36"/>
          <w:szCs w:val="36"/>
        </w:rPr>
      </w:pPr>
    </w:p>
    <w:bookmarkEnd w:id="228"/>
    <w:bookmarkEnd w:id="229"/>
    <w:bookmarkEnd w:id="230"/>
    <w:bookmarkEnd w:id="231"/>
    <w:bookmarkEnd w:id="260"/>
    <w:p>
      <w:pPr>
        <w:pStyle w:val="7"/>
        <w:ind w:firstLine="720"/>
        <w:outlineLvl w:val="0"/>
        <w:rPr>
          <w:rFonts w:hint="default"/>
          <w:sz w:val="36"/>
          <w:szCs w:val="36"/>
        </w:rPr>
      </w:pPr>
      <w:bookmarkStart w:id="281" w:name="_Toc28969"/>
      <w:bookmarkStart w:id="282" w:name="_Toc2071178744"/>
      <w:bookmarkStart w:id="283" w:name="_Toc23015"/>
      <w:r>
        <w:rPr>
          <w:sz w:val="36"/>
          <w:szCs w:val="36"/>
        </w:rPr>
        <w:t>十</w:t>
      </w:r>
      <w:r>
        <w:rPr>
          <w:rFonts w:hint="eastAsia"/>
          <w:sz w:val="36"/>
          <w:szCs w:val="36"/>
          <w:lang w:val="en-US" w:eastAsia="zh-CN"/>
        </w:rPr>
        <w:t>九</w:t>
      </w:r>
      <w:r>
        <w:rPr>
          <w:sz w:val="36"/>
          <w:szCs w:val="36"/>
        </w:rPr>
        <w:t>、平安银行“专精特新”企业专属金融产品</w:t>
      </w:r>
      <w:bookmarkEnd w:id="281"/>
      <w:bookmarkEnd w:id="282"/>
      <w:bookmarkEnd w:id="283"/>
    </w:p>
    <w:p>
      <w:pPr>
        <w:spacing w:line="600" w:lineRule="exact"/>
        <w:rPr>
          <w:rFonts w:ascii="Times New Roman" w:hAnsi="Times New Roman" w:eastAsia="宋体"/>
          <w:kern w:val="0"/>
          <w:sz w:val="30"/>
          <w:szCs w:val="30"/>
        </w:rPr>
      </w:pPr>
    </w:p>
    <w:p>
      <w:pPr>
        <w:spacing w:line="600" w:lineRule="exact"/>
        <w:ind w:firstLine="642" w:firstLineChars="200"/>
        <w:rPr>
          <w:rFonts w:ascii="宋体" w:hAnsi="宋体" w:eastAsia="宋体"/>
          <w:kern w:val="0"/>
          <w:sz w:val="30"/>
          <w:szCs w:val="30"/>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kern w:val="0"/>
          <w:szCs w:val="32"/>
        </w:rPr>
        <w:t>为进一步支持专精特新企业业务发展，平安银行2023年度公司客户版专精特新政策从主体范围、额度管理、行业风险政策豁免、财务指标、评价模型等维度进行了全面优化，助力专精特新业务稳健发展。</w:t>
      </w:r>
    </w:p>
    <w:p>
      <w:pPr>
        <w:spacing w:line="60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p>
    <w:p>
      <w:pPr>
        <w:spacing w:line="600" w:lineRule="exact"/>
        <w:ind w:firstLine="642" w:firstLineChars="200"/>
        <w:outlineLvl w:val="0"/>
        <w:rPr>
          <w:rFonts w:ascii="仿宋_GB2312" w:hAnsi="仿宋_GB2312" w:eastAsia="仿宋_GB2312" w:cs="仿宋_GB2312"/>
          <w:b/>
          <w:bCs/>
          <w:kern w:val="0"/>
          <w:szCs w:val="32"/>
        </w:rPr>
      </w:pPr>
      <w:bookmarkStart w:id="284" w:name="_Toc10346"/>
      <w:bookmarkStart w:id="285" w:name="_Toc17758"/>
      <w:bookmarkStart w:id="286" w:name="_Toc2867"/>
      <w:bookmarkStart w:id="287" w:name="_Toc655088740"/>
      <w:bookmarkStart w:id="288" w:name="_Toc31445"/>
      <w:bookmarkStart w:id="289" w:name="_Toc22398"/>
      <w:bookmarkStart w:id="290" w:name="_Toc1983615045"/>
      <w:bookmarkStart w:id="291" w:name="_Toc19583"/>
      <w:bookmarkStart w:id="292" w:name="_Toc8338"/>
      <w:r>
        <w:rPr>
          <w:rFonts w:hint="eastAsia" w:ascii="仿宋_GB2312" w:hAnsi="仿宋_GB2312" w:eastAsia="仿宋_GB2312" w:cs="仿宋_GB2312"/>
          <w:b/>
          <w:bCs/>
          <w:kern w:val="0"/>
          <w:szCs w:val="32"/>
          <w:lang w:eastAsia="zh-CN"/>
        </w:rPr>
        <w:t>（</w:t>
      </w:r>
      <w:r>
        <w:rPr>
          <w:rFonts w:hint="eastAsia" w:ascii="仿宋_GB2312" w:hAnsi="仿宋_GB2312" w:eastAsia="仿宋_GB2312" w:cs="仿宋_GB2312"/>
          <w:b/>
          <w:bCs/>
          <w:kern w:val="0"/>
          <w:szCs w:val="32"/>
          <w:lang w:val="en-US" w:eastAsia="zh-CN"/>
        </w:rPr>
        <w:t>1</w:t>
      </w:r>
      <w:r>
        <w:rPr>
          <w:rFonts w:hint="eastAsia" w:ascii="仿宋_GB2312" w:hAnsi="仿宋_GB2312" w:eastAsia="仿宋_GB2312" w:cs="仿宋_GB2312"/>
          <w:b/>
          <w:bCs/>
          <w:kern w:val="0"/>
          <w:szCs w:val="32"/>
          <w:lang w:eastAsia="zh-CN"/>
        </w:rPr>
        <w:t>）</w:t>
      </w:r>
      <w:r>
        <w:rPr>
          <w:rFonts w:hint="eastAsia" w:ascii="仿宋_GB2312" w:hAnsi="仿宋_GB2312" w:eastAsia="仿宋_GB2312" w:cs="仿宋_GB2312"/>
          <w:b/>
          <w:bCs/>
          <w:kern w:val="0"/>
          <w:szCs w:val="32"/>
        </w:rPr>
        <w:t>成熟期客户准入条件</w:t>
      </w:r>
      <w:bookmarkEnd w:id="284"/>
      <w:bookmarkEnd w:id="285"/>
      <w:bookmarkEnd w:id="286"/>
      <w:bookmarkEnd w:id="287"/>
      <w:bookmarkEnd w:id="288"/>
      <w:bookmarkEnd w:id="289"/>
      <w:bookmarkEnd w:id="290"/>
      <w:bookmarkEnd w:id="291"/>
      <w:bookmarkEnd w:id="292"/>
    </w:p>
    <w:p>
      <w:pPr>
        <w:spacing w:line="600" w:lineRule="exact"/>
        <w:ind w:firstLine="642" w:firstLineChars="200"/>
        <w:rPr>
          <w:rFonts w:ascii="宋体" w:hAnsi="宋体" w:eastAsia="宋体"/>
          <w:kern w:val="0"/>
          <w:sz w:val="30"/>
          <w:szCs w:val="30"/>
        </w:rPr>
      </w:pPr>
      <w:r>
        <w:rPr>
          <w:rFonts w:hint="eastAsia" w:ascii="仿宋_GB2312" w:hAnsi="仿宋_GB2312" w:eastAsia="仿宋_GB2312" w:cs="仿宋_GB2312"/>
          <w:b/>
          <w:bCs/>
          <w:kern w:val="0"/>
          <w:szCs w:val="32"/>
        </w:rPr>
        <w:t>★必备条件：</w:t>
      </w:r>
      <w:r>
        <w:rPr>
          <w:rFonts w:hint="eastAsia" w:ascii="仿宋_GB2312" w:hAnsi="仿宋_GB2312" w:eastAsia="仿宋_GB2312" w:cs="仿宋_GB2312"/>
          <w:kern w:val="0"/>
          <w:szCs w:val="32"/>
        </w:rPr>
        <w:t>企业在特定细分市场持续经营5年（含）以上，企业实际控制人、技术研发及管理团队核心成员稳定。主营收入占比营业总收入不低于70%。（财务数据取值合并报表，如有，下同）主营收入不低于2亿元；近2年净利润均为正，对受疫情影响的，可根据实际情况适度放宽至近2年至少1年盈利；经营性净现金流至少一年为正；研发费用投入占主营收入比例均值不低于3%或合计不低于2000万元。拥有2项以上与主导产品（产品收入占比营收前三,下同）相关的一类知识产权，且实际应用并已产生经济效益。客户评级5D及以上。</w:t>
      </w:r>
    </w:p>
    <w:p>
      <w:pPr>
        <w:spacing w:line="600" w:lineRule="exact"/>
        <w:ind w:firstLine="642" w:firstLineChars="200"/>
        <w:rPr>
          <w:rFonts w:ascii="仿宋_GB2312" w:hAnsi="仿宋_GB2312" w:eastAsia="仿宋_GB2312" w:cs="仿宋_GB2312"/>
          <w:b/>
          <w:bCs/>
          <w:kern w:val="0"/>
          <w:szCs w:val="32"/>
        </w:rPr>
      </w:pPr>
      <w:r>
        <w:rPr>
          <w:rFonts w:hint="eastAsia" w:ascii="仿宋_GB2312" w:hAnsi="仿宋_GB2312" w:eastAsia="仿宋_GB2312" w:cs="仿宋_GB2312"/>
          <w:b/>
          <w:bCs/>
          <w:kern w:val="0"/>
          <w:szCs w:val="32"/>
        </w:rPr>
        <w:t>★专项条件（至少满足一条）</w:t>
      </w:r>
    </w:p>
    <w:p>
      <w:pPr>
        <w:spacing w:line="600" w:lineRule="exact"/>
        <w:ind w:firstLine="640" w:firstLineChars="200"/>
        <w:rPr>
          <w:rFonts w:ascii="仿宋_GB2312" w:hAnsi="仿宋_GB2312" w:eastAsia="仿宋_GB2312" w:cs="仿宋_GB2312"/>
          <w:kern w:val="0"/>
          <w:szCs w:val="32"/>
        </w:rPr>
      </w:pPr>
      <w:r>
        <w:rPr>
          <w:rFonts w:hint="eastAsia" w:ascii="东文宋体" w:hAnsi="东文宋体" w:eastAsia="东文宋体" w:cs="东文宋体"/>
          <w:kern w:val="0"/>
          <w:szCs w:val="32"/>
        </w:rPr>
        <w:t>①</w:t>
      </w:r>
      <w:r>
        <w:rPr>
          <w:rFonts w:hint="eastAsia" w:ascii="仿宋_GB2312" w:hAnsi="仿宋_GB2312" w:eastAsia="仿宋_GB2312" w:cs="仿宋_GB2312"/>
          <w:kern w:val="0"/>
          <w:szCs w:val="32"/>
        </w:rPr>
        <w:t>客户为工信部认定的小巨人企业。</w:t>
      </w:r>
    </w:p>
    <w:p>
      <w:pPr>
        <w:spacing w:line="600" w:lineRule="exact"/>
        <w:ind w:firstLine="640" w:firstLineChars="200"/>
        <w:rPr>
          <w:rFonts w:ascii="仿宋_GB2312" w:hAnsi="仿宋_GB2312" w:eastAsia="仿宋_GB2312" w:cs="仿宋_GB2312"/>
          <w:kern w:val="0"/>
          <w:szCs w:val="32"/>
        </w:rPr>
      </w:pPr>
      <w:r>
        <w:rPr>
          <w:rFonts w:hint="eastAsia" w:ascii="东文宋体" w:hAnsi="东文宋体" w:eastAsia="东文宋体" w:cs="东文宋体"/>
          <w:kern w:val="0"/>
          <w:szCs w:val="32"/>
        </w:rPr>
        <w:t>②</w:t>
      </w:r>
      <w:r>
        <w:rPr>
          <w:rFonts w:hint="eastAsia" w:ascii="仿宋_GB2312" w:hAnsi="仿宋_GB2312" w:eastAsia="仿宋_GB2312" w:cs="仿宋_GB2312"/>
          <w:kern w:val="0"/>
          <w:szCs w:val="32"/>
        </w:rPr>
        <w:t>省级专精特新企业，须同时满足以下条件：近2年总资产收益率均值不低于5%或主营业务毛利率不低于20%；自建或联合建立省级以上技术中心、研发机构，或院士专家工作站、博士后工作站等,或取得省级及以上科技奖励；主导产品在全国细分市场占有率达到5%以上，或占有率在企业所在地全省排名前三或全国排名前五，或为主导产品所属行业标准、规范的主要制定者。</w:t>
      </w:r>
    </w:p>
    <w:p>
      <w:pPr>
        <w:spacing w:line="600" w:lineRule="exact"/>
        <w:ind w:firstLine="642" w:firstLineChars="200"/>
        <w:outlineLvl w:val="0"/>
        <w:rPr>
          <w:rFonts w:ascii="仿宋_GB2312" w:hAnsi="仿宋_GB2312" w:eastAsia="仿宋_GB2312" w:cs="仿宋_GB2312"/>
          <w:b/>
          <w:bCs/>
          <w:kern w:val="0"/>
          <w:szCs w:val="32"/>
        </w:rPr>
      </w:pPr>
      <w:bookmarkStart w:id="293" w:name="_Toc22498"/>
      <w:bookmarkStart w:id="294" w:name="_Toc7055"/>
      <w:bookmarkStart w:id="295" w:name="_Toc11248"/>
      <w:bookmarkStart w:id="296" w:name="_Toc496066700"/>
      <w:bookmarkStart w:id="297" w:name="_Toc666112310"/>
      <w:bookmarkStart w:id="298" w:name="_Toc27709"/>
      <w:bookmarkStart w:id="299" w:name="_Toc6760"/>
      <w:bookmarkStart w:id="300" w:name="_Toc32064"/>
      <w:bookmarkStart w:id="301" w:name="_Toc14884"/>
      <w:r>
        <w:rPr>
          <w:rFonts w:hint="eastAsia" w:ascii="仿宋_GB2312" w:hAnsi="仿宋_GB2312" w:eastAsia="仿宋_GB2312" w:cs="仿宋_GB2312"/>
          <w:b/>
          <w:bCs/>
          <w:kern w:val="0"/>
          <w:szCs w:val="32"/>
          <w:lang w:eastAsia="zh-CN"/>
        </w:rPr>
        <w:t>（</w:t>
      </w:r>
      <w:r>
        <w:rPr>
          <w:rFonts w:hint="eastAsia" w:ascii="仿宋_GB2312" w:hAnsi="仿宋_GB2312" w:eastAsia="仿宋_GB2312" w:cs="仿宋_GB2312"/>
          <w:b/>
          <w:bCs/>
          <w:kern w:val="0"/>
          <w:szCs w:val="32"/>
          <w:lang w:val="en-US" w:eastAsia="zh-CN"/>
        </w:rPr>
        <w:t>2</w:t>
      </w:r>
      <w:r>
        <w:rPr>
          <w:rFonts w:hint="eastAsia" w:ascii="仿宋_GB2312" w:hAnsi="仿宋_GB2312" w:eastAsia="仿宋_GB2312" w:cs="仿宋_GB2312"/>
          <w:b/>
          <w:bCs/>
          <w:kern w:val="0"/>
          <w:szCs w:val="32"/>
          <w:lang w:eastAsia="zh-CN"/>
        </w:rPr>
        <w:t>）</w:t>
      </w:r>
      <w:r>
        <w:rPr>
          <w:rFonts w:hint="eastAsia" w:ascii="仿宋_GB2312" w:hAnsi="仿宋_GB2312" w:eastAsia="仿宋_GB2312" w:cs="仿宋_GB2312"/>
          <w:b/>
          <w:bCs/>
          <w:kern w:val="0"/>
          <w:szCs w:val="32"/>
        </w:rPr>
        <w:t>成长期客户准入条件</w:t>
      </w:r>
      <w:bookmarkEnd w:id="293"/>
      <w:bookmarkEnd w:id="294"/>
      <w:bookmarkEnd w:id="295"/>
      <w:bookmarkEnd w:id="296"/>
      <w:bookmarkEnd w:id="297"/>
      <w:bookmarkEnd w:id="298"/>
      <w:bookmarkEnd w:id="299"/>
      <w:bookmarkEnd w:id="300"/>
      <w:bookmarkEnd w:id="301"/>
    </w:p>
    <w:p>
      <w:pPr>
        <w:spacing w:line="600" w:lineRule="exact"/>
        <w:ind w:firstLine="640" w:firstLineChars="200"/>
        <w:rPr>
          <w:rFonts w:ascii="宋体" w:hAnsi="宋体" w:eastAsia="宋体"/>
          <w:kern w:val="0"/>
          <w:sz w:val="30"/>
          <w:szCs w:val="30"/>
        </w:rPr>
      </w:pPr>
      <w:r>
        <w:rPr>
          <w:rFonts w:hint="eastAsia" w:ascii="仿宋_GB2312" w:hAnsi="仿宋_GB2312" w:eastAsia="仿宋_GB2312" w:cs="仿宋_GB2312"/>
          <w:kern w:val="0"/>
          <w:szCs w:val="32"/>
        </w:rPr>
        <w:t>企业在特定细分市场持续经营2年（含）以上或实际控制人在主营业务领域从业5年以上，企业实际控制人、技术研发及管理团队核心成员稳定；主营收入占比营业总收入不低于70%；企业负债率不超过65%，近2年至少1年实现净利润为正，近2年研发费用投入占主营收入比例均值不低于5%或合计不低于600万，主营收入平均增长率不低于10%； 拥有1项以上与主导产品相关的一类知识产权，且实际应用并已产生经济效益。客户评级5D及以上。模型得分不低于50分。</w:t>
      </w:r>
    </w:p>
    <w:p>
      <w:pPr>
        <w:spacing w:line="600" w:lineRule="exact"/>
        <w:ind w:firstLine="642" w:firstLineChars="200"/>
        <w:jc w:val="left"/>
        <w:rPr>
          <w:rFonts w:ascii="仿宋_GB2312" w:hAnsi="仿宋_GB2312" w:eastAsia="仿宋_GB2312" w:cs="仿宋_GB2312"/>
          <w:szCs w:val="32"/>
        </w:rPr>
      </w:pPr>
      <w:r>
        <w:rPr>
          <w:rFonts w:hint="eastAsia" w:ascii="仿宋_GB2312" w:hAnsi="仿宋_GB2312" w:eastAsia="仿宋_GB2312" w:cs="仿宋_GB2312"/>
          <w:b/>
          <w:bCs/>
          <w:szCs w:val="32"/>
        </w:rPr>
        <w:t>贷款期限：</w:t>
      </w:r>
      <w:r>
        <w:rPr>
          <w:rFonts w:hint="eastAsia" w:ascii="仿宋_GB2312" w:hAnsi="仿宋_GB2312" w:eastAsia="仿宋_GB2312" w:cs="仿宋_GB2312"/>
          <w:szCs w:val="32"/>
        </w:rPr>
        <w:t>授信额度有效期不超过 12 个月。对制造业客户发放流动资金贷款，期限在15个月（含）以内的，比照一年期流动资金贷款相关要求执行。期限在15个月（不含）至3年（含）的，需满足：客户内部评级4D及以上，贷款期限不超过3年；如贷款期限不超过2年，内部评级可适度下降为5A及以上；财务报表经审计，整体财务情况良好；经营稳定、发展前景良好。</w:t>
      </w:r>
    </w:p>
    <w:p>
      <w:pPr>
        <w:pStyle w:val="4"/>
        <w:spacing w:line="600" w:lineRule="exact"/>
        <w:rPr>
          <w:rFonts w:ascii="仿宋_GB2312" w:hAnsi="仿宋_GB2312" w:eastAsia="仿宋_GB2312" w:cs="仿宋_GB2312"/>
          <w:b/>
          <w:bCs/>
          <w:kern w:val="0"/>
          <w:szCs w:val="32"/>
        </w:rPr>
      </w:pPr>
    </w:p>
    <w:p>
      <w:pPr>
        <w:pStyle w:val="4"/>
        <w:spacing w:line="600" w:lineRule="exact"/>
        <w:rPr>
          <w:rFonts w:ascii="仿宋_GB2312" w:hAnsi="仿宋_GB2312" w:eastAsia="仿宋_GB2312" w:cs="仿宋_GB2312"/>
          <w:kern w:val="0"/>
          <w:szCs w:val="32"/>
        </w:rPr>
      </w:pPr>
    </w:p>
    <w:p>
      <w:pPr>
        <w:pStyle w:val="7"/>
        <w:ind w:firstLine="720"/>
        <w:outlineLvl w:val="0"/>
        <w:rPr>
          <w:rFonts w:hint="default"/>
          <w:sz w:val="36"/>
          <w:szCs w:val="36"/>
        </w:rPr>
      </w:pPr>
      <w:bookmarkStart w:id="302" w:name="_Toc235432857"/>
      <w:bookmarkStart w:id="303" w:name="_Toc31097"/>
      <w:bookmarkStart w:id="304" w:name="_Toc2073"/>
      <w:r>
        <w:rPr>
          <w:rFonts w:hint="eastAsia"/>
          <w:sz w:val="36"/>
          <w:szCs w:val="36"/>
          <w:lang w:eastAsia="zh-CN"/>
        </w:rPr>
        <w:t>二十</w:t>
      </w:r>
      <w:r>
        <w:rPr>
          <w:sz w:val="36"/>
          <w:szCs w:val="36"/>
        </w:rPr>
        <w:t>、浦发银行“专精特新”企业专项服务包</w:t>
      </w:r>
      <w:bookmarkEnd w:id="302"/>
    </w:p>
    <w:p>
      <w:pPr>
        <w:spacing w:line="600" w:lineRule="exact"/>
        <w:ind w:firstLine="642" w:firstLineChars="200"/>
        <w:rPr>
          <w:rFonts w:ascii="仿宋" w:hAnsi="仿宋" w:eastAsia="仿宋" w:cs="仿宋"/>
          <w:b/>
          <w:szCs w:val="20"/>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rPr>
          <w:rFonts w:ascii="仿宋_GB2312" w:hAnsi="仿宋_GB2312" w:eastAsia="仿宋_GB2312" w:cs="仿宋_GB2312"/>
          <w:szCs w:val="20"/>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20"/>
        </w:rPr>
        <w:t>浦发银行以我省“专精特新”企业特点和需求为中心，致力于为企业提供以信用为主的贷款资金支持，并辅以财务管理、股权优化、上市规划、供应链金融等生态圈泛服务。</w:t>
      </w:r>
    </w:p>
    <w:p>
      <w:pPr>
        <w:pStyle w:val="4"/>
        <w:spacing w:line="600" w:lineRule="exact"/>
        <w:ind w:firstLine="642" w:firstLineChars="200"/>
        <w:rPr>
          <w:rFonts w:ascii="仿宋_GB2312" w:hAnsi="仿宋_GB2312" w:eastAsia="仿宋_GB2312" w:cs="仿宋_GB231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适用对象：</w:t>
      </w:r>
      <w:r>
        <w:rPr>
          <w:rFonts w:hint="eastAsia" w:ascii="仿宋_GB2312" w:hAnsi="仿宋_GB2312" w:eastAsia="仿宋_GB2312" w:cs="仿宋_GB2312"/>
        </w:rPr>
        <w:t>国家级专精特新“小巨人”名单企业及福建省专精特新名单企业。</w:t>
      </w:r>
    </w:p>
    <w:p>
      <w:pPr>
        <w:pStyle w:val="4"/>
        <w:spacing w:line="600" w:lineRule="exact"/>
        <w:ind w:firstLine="642" w:firstLineChars="200"/>
        <w:rPr>
          <w:rFonts w:ascii="仿宋" w:hAnsi="仿宋" w:eastAsia="仿宋" w:cs="仿宋"/>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融资组合：</w:t>
      </w:r>
      <w:r>
        <w:rPr>
          <w:rFonts w:hint="eastAsia" w:ascii="仿宋_GB2312" w:hAnsi="仿宋_GB2312" w:eastAsia="仿宋_GB2312" w:cs="仿宋_GB2312"/>
        </w:rPr>
        <w:t>综合授信，品种包括固定资产贷款、流动资金贷款、贸易融资、开立银行承兑汇票等。</w:t>
      </w:r>
    </w:p>
    <w:p>
      <w:pPr>
        <w:pStyle w:val="4"/>
        <w:spacing w:line="600" w:lineRule="exact"/>
        <w:ind w:firstLine="642" w:firstLineChars="200"/>
        <w:jc w:val="both"/>
        <w:rPr>
          <w:rFonts w:ascii="黑体" w:hAnsi="黑体" w:eastAsia="黑体" w:cs="黑体"/>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融资额度：</w:t>
      </w:r>
      <w:r>
        <w:rPr>
          <w:rFonts w:hint="eastAsia" w:ascii="仿宋_GB2312" w:eastAsia="仿宋_GB2312"/>
          <w:szCs w:val="32"/>
        </w:rPr>
        <w:t>国家认定的专精特新“小巨人”企业信用额度最高5000万元；福建省认定的专精特新中小企业信用额度最高2000万元。</w:t>
      </w:r>
    </w:p>
    <w:p>
      <w:pPr>
        <w:pStyle w:val="4"/>
        <w:spacing w:line="600" w:lineRule="exact"/>
        <w:ind w:firstLine="642" w:firstLineChars="200"/>
        <w:rPr>
          <w:rFonts w:ascii="仿宋" w:hAnsi="仿宋" w:eastAsia="仿宋_GB2312" w:cs="仿宋"/>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业务流程：</w:t>
      </w:r>
      <w:r>
        <w:rPr>
          <w:rFonts w:hint="eastAsia" w:ascii="仿宋_GB2312" w:hAnsi="仿宋_GB2312" w:eastAsia="仿宋_GB2312" w:cs="仿宋_GB2312"/>
        </w:rPr>
        <w:t>客户提交申请和基本信息→初步额度测算→客户提供详细资料→调整和确定额度→客户签约与支用→续贷（调整优化融资服务方案）。</w:t>
      </w:r>
    </w:p>
    <w:p>
      <w:pPr>
        <w:pStyle w:val="7"/>
        <w:ind w:firstLine="720"/>
        <w:rPr>
          <w:rFonts w:hint="default"/>
          <w:sz w:val="36"/>
          <w:szCs w:val="36"/>
        </w:rPr>
      </w:pPr>
    </w:p>
    <w:p>
      <w:pPr>
        <w:pStyle w:val="7"/>
        <w:tabs>
          <w:tab w:val="left" w:pos="5760"/>
        </w:tabs>
        <w:ind w:firstLine="720"/>
        <w:outlineLvl w:val="0"/>
        <w:rPr>
          <w:sz w:val="36"/>
          <w:szCs w:val="36"/>
        </w:rPr>
      </w:pPr>
      <w:bookmarkStart w:id="305" w:name="_Toc22957"/>
    </w:p>
    <w:bookmarkEnd w:id="303"/>
    <w:bookmarkEnd w:id="304"/>
    <w:bookmarkEnd w:id="305"/>
    <w:p>
      <w:pPr>
        <w:pStyle w:val="7"/>
        <w:ind w:left="0" w:leftChars="0" w:firstLine="0" w:firstLineChars="0"/>
        <w:outlineLvl w:val="0"/>
        <w:rPr>
          <w:sz w:val="36"/>
          <w:szCs w:val="36"/>
        </w:rPr>
      </w:pPr>
    </w:p>
    <w:p>
      <w:pPr>
        <w:snapToGrid w:val="0"/>
        <w:spacing w:line="600" w:lineRule="exact"/>
        <w:ind w:firstLine="640" w:firstLineChars="200"/>
        <w:rPr>
          <w:rFonts w:ascii="仿宋_GB2312" w:hAnsi="仿宋_GB2312" w:eastAsia="仿宋_GB2312" w:cs="仿宋_GB2312"/>
          <w:kern w:val="0"/>
          <w:szCs w:val="32"/>
        </w:rPr>
      </w:pPr>
    </w:p>
    <w:p>
      <w:pPr>
        <w:pStyle w:val="2"/>
        <w:ind w:left="0" w:leftChars="0" w:firstLine="0" w:firstLineChars="0"/>
      </w:pPr>
    </w:p>
    <w:p>
      <w:pPr>
        <w:pStyle w:val="7"/>
        <w:outlineLvl w:val="0"/>
        <w:rPr>
          <w:rFonts w:hint="default"/>
          <w:sz w:val="36"/>
          <w:szCs w:val="36"/>
        </w:rPr>
      </w:pPr>
      <w:bookmarkStart w:id="306" w:name="_Toc302350256"/>
      <w:r>
        <w:rPr>
          <w:rFonts w:hint="eastAsia"/>
          <w:sz w:val="36"/>
          <w:szCs w:val="36"/>
          <w:lang w:val="en-US" w:eastAsia="zh-CN"/>
        </w:rPr>
        <w:t>二十一</w:t>
      </w:r>
      <w:r>
        <w:rPr>
          <w:sz w:val="36"/>
          <w:szCs w:val="36"/>
        </w:rPr>
        <w:t>、渤海银行“专精特新”企业专属金融产品</w:t>
      </w:r>
      <w:bookmarkEnd w:id="306"/>
    </w:p>
    <w:p>
      <w:pPr>
        <w:snapToGrid w:val="0"/>
        <w:spacing w:line="580" w:lineRule="exact"/>
        <w:ind w:firstLine="642" w:firstLineChars="200"/>
        <w:rPr>
          <w:rFonts w:ascii="仿宋_GB2312" w:hAnsi="仿宋_GB2312" w:eastAsia="仿宋_GB2312" w:cs="仿宋_GB2312"/>
          <w:b/>
          <w:bCs/>
          <w:szCs w:val="32"/>
        </w:rPr>
      </w:pPr>
    </w:p>
    <w:p>
      <w:pPr>
        <w:snapToGrid w:val="0"/>
        <w:spacing w:line="360" w:lineRule="auto"/>
        <w:ind w:firstLine="642" w:firstLineChars="200"/>
        <w:rPr>
          <w:rFonts w:ascii="楷体" w:hAnsi="楷体" w:eastAsia="楷体" w:cs="楷体"/>
          <w:b/>
          <w:bCs/>
          <w:szCs w:val="32"/>
        </w:rPr>
      </w:pPr>
      <w:r>
        <w:rPr>
          <w:rFonts w:hint="eastAsia" w:ascii="楷体" w:hAnsi="楷体" w:eastAsia="楷体" w:cs="楷体"/>
          <w:b/>
          <w:bCs/>
          <w:kern w:val="0"/>
          <w:szCs w:val="32"/>
          <w:lang w:bidi="ar"/>
        </w:rPr>
        <w:t>（一）“科创贷”</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产品简介：</w:t>
      </w:r>
      <w:r>
        <w:rPr>
          <w:rFonts w:hint="eastAsia" w:ascii="仿宋_GB2312" w:hAnsi="仿宋_GB2312" w:eastAsia="仿宋_GB2312" w:cs="仿宋_GB2312"/>
          <w:szCs w:val="32"/>
        </w:rPr>
        <w:t>渤海银行</w:t>
      </w:r>
      <w:r>
        <w:rPr>
          <w:rFonts w:hint="eastAsia" w:ascii="仿宋_GB2312" w:hAnsi="仿宋_GB2312" w:eastAsia="仿宋_GB2312" w:cs="仿宋_GB2312"/>
          <w:kern w:val="0"/>
          <w:szCs w:val="32"/>
        </w:rPr>
        <w:t>将</w:t>
      </w:r>
      <w:r>
        <w:rPr>
          <w:rFonts w:hint="eastAsia" w:ascii="仿宋_GB2312" w:hAnsi="仿宋_GB2312" w:eastAsia="仿宋_GB2312" w:cs="仿宋_GB2312"/>
          <w:kern w:val="0"/>
          <w:szCs w:val="32"/>
          <w:lang w:bidi="ar"/>
        </w:rPr>
        <w:t>“高新技术企业、专精特新中小企业、专精特新‘小巨人’企业、国家技术创新示范企业、制造业单向冠军企业”等科技型企业作为目标客群，</w:t>
      </w:r>
      <w:r>
        <w:rPr>
          <w:rFonts w:hint="eastAsia" w:ascii="仿宋_GB2312" w:hAnsi="仿宋_GB2312" w:eastAsia="仿宋_GB2312" w:cs="仿宋_GB2312"/>
          <w:kern w:val="0"/>
          <w:szCs w:val="32"/>
        </w:rPr>
        <w:t>结合征信、工商、司法等数据维度，</w:t>
      </w:r>
      <w:r>
        <w:rPr>
          <w:rFonts w:hint="eastAsia" w:ascii="仿宋_GB2312" w:hAnsi="仿宋_GB2312" w:eastAsia="仿宋_GB2312" w:cs="仿宋_GB2312"/>
          <w:szCs w:val="32"/>
        </w:rPr>
        <w:t>通过线上线下相结合的方式，为具有发展潜力的科技型小微企业提供的用于其日常生产经营所需的贷款服务。</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color w:val="000000"/>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服务对象：</w:t>
      </w:r>
      <w:r>
        <w:rPr>
          <w:rFonts w:hint="eastAsia" w:ascii="仿宋_GB2312" w:hAnsi="仿宋_GB2312" w:eastAsia="仿宋_GB2312" w:cs="仿宋_GB2312"/>
          <w:color w:val="000000"/>
          <w:szCs w:val="32"/>
        </w:rPr>
        <w:t>企业持有合法有效的营业执照，有固定经营场所；借款企业成立年限不低于1年；借款企业上年度净资产不能为负；借款企业征信记录良好；本行规定的其他条件。</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贷款额度：</w:t>
      </w:r>
      <w:r>
        <w:rPr>
          <w:rFonts w:hint="eastAsia" w:ascii="仿宋_GB2312" w:hAnsi="仿宋_GB2312" w:eastAsia="仿宋_GB2312" w:cs="仿宋_GB2312"/>
          <w:szCs w:val="32"/>
        </w:rPr>
        <w:t>单户贷款额度</w:t>
      </w:r>
      <w:r>
        <w:rPr>
          <w:rFonts w:hint="eastAsia" w:ascii="仿宋_GB2312" w:hAnsi="仿宋_GB2312" w:eastAsia="仿宋_GB2312" w:cs="仿宋_GB2312"/>
          <w:color w:val="000000"/>
          <w:szCs w:val="32"/>
        </w:rPr>
        <w:t>不超过人民币1000万元（含）</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贷款期限：</w:t>
      </w:r>
      <w:r>
        <w:rPr>
          <w:rFonts w:hint="eastAsia" w:ascii="仿宋_GB2312" w:hAnsi="仿宋_GB2312" w:eastAsia="仿宋_GB2312" w:cs="仿宋_GB2312"/>
          <w:color w:val="000000"/>
          <w:szCs w:val="32"/>
        </w:rPr>
        <w:t>贷款期限根据借款人资金用途、经营周期等因素合理确定，最长不得超过5年（含）</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还款方式：</w:t>
      </w:r>
      <w:r>
        <w:rPr>
          <w:rFonts w:hint="eastAsia" w:ascii="仿宋_GB2312" w:hAnsi="仿宋_GB2312" w:eastAsia="仿宋_GB2312" w:cs="仿宋_GB2312"/>
          <w:color w:val="000000"/>
          <w:szCs w:val="32"/>
        </w:rPr>
        <w:t>等额本息、按月付息到期一次还本</w:t>
      </w:r>
      <w:r>
        <w:rPr>
          <w:rFonts w:hint="eastAsia" w:ascii="仿宋_GB2312" w:hAnsi="仿宋_GB2312" w:eastAsia="仿宋_GB2312" w:cs="仿宋_GB2312"/>
          <w:color w:val="000000"/>
          <w:szCs w:val="32"/>
          <w:lang w:eastAsia="zh-CN"/>
        </w:rPr>
        <w:t>。</w:t>
      </w:r>
    </w:p>
    <w:p>
      <w:pPr>
        <w:pStyle w:val="2"/>
        <w:keepNext w:val="0"/>
        <w:keepLines w:val="0"/>
        <w:pageBreakBefore w:val="0"/>
        <w:widowControl w:val="0"/>
        <w:kinsoku/>
        <w:wordWrap/>
        <w:overflowPunct/>
        <w:topLinePunct w:val="0"/>
        <w:autoSpaceDE/>
        <w:autoSpaceDN/>
        <w:bidi w:val="0"/>
        <w:adjustRightInd/>
        <w:spacing w:before="0" w:beforeAutospacing="0" w:after="0" w:line="600" w:lineRule="exact"/>
        <w:ind w:left="0" w:leftChars="0" w:firstLine="640"/>
        <w:textAlignment w:val="auto"/>
        <w:rPr>
          <w:rFonts w:ascii="仿宋_GB2312" w:hAnsi="仿宋_GB2312" w:eastAsia="仿宋_GB2312" w:cs="仿宋_GB2312"/>
          <w:color w:val="000000"/>
          <w:szCs w:val="32"/>
        </w:rPr>
      </w:pPr>
      <w:r>
        <w:rPr>
          <w:rFonts w:hint="eastAsia" w:ascii="仿宋_GB2312" w:hAnsi="仿宋_GB2312" w:eastAsia="仿宋_GB2312" w:cs="仿宋_GB2312"/>
          <w:b/>
          <w:bCs/>
          <w:szCs w:val="32"/>
          <w:lang w:val="en-US" w:eastAsia="zh-CN"/>
        </w:rPr>
        <w:t>6.</w:t>
      </w:r>
      <w:r>
        <w:rPr>
          <w:rFonts w:hint="eastAsia" w:ascii="仿宋_GB2312" w:hAnsi="仿宋_GB2312" w:eastAsia="仿宋_GB2312" w:cs="仿宋_GB2312"/>
          <w:b/>
          <w:bCs/>
          <w:szCs w:val="32"/>
        </w:rPr>
        <w:t>担保方式：</w:t>
      </w:r>
      <w:r>
        <w:rPr>
          <w:rFonts w:hint="eastAsia" w:ascii="仿宋_GB2312" w:hAnsi="仿宋_GB2312" w:eastAsia="仿宋_GB2312" w:cs="仿宋_GB2312"/>
          <w:color w:val="000000"/>
          <w:szCs w:val="32"/>
        </w:rPr>
        <w:t>可采用知识产权质押、应收账款质押、房产抵押等多种方式，具体以审批意见为准。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kern w:val="0"/>
          <w:szCs w:val="32"/>
        </w:rPr>
      </w:pPr>
    </w:p>
    <w:p>
      <w:pPr>
        <w:pStyle w:val="4"/>
        <w:spacing w:line="600" w:lineRule="exact"/>
        <w:rPr>
          <w:rFonts w:ascii="仿宋" w:hAnsi="仿宋" w:eastAsia="仿宋" w:cs="仿宋"/>
          <w:szCs w:val="32"/>
        </w:rPr>
      </w:pPr>
    </w:p>
    <w:p>
      <w:pPr>
        <w:pStyle w:val="4"/>
        <w:spacing w:line="600" w:lineRule="exact"/>
        <w:rPr>
          <w:rFonts w:ascii="仿宋" w:hAnsi="仿宋" w:eastAsia="仿宋" w:cs="仿宋"/>
          <w:szCs w:val="32"/>
        </w:rPr>
      </w:pPr>
    </w:p>
    <w:p>
      <w:pPr>
        <w:pStyle w:val="4"/>
        <w:spacing w:line="600" w:lineRule="exact"/>
        <w:rPr>
          <w:rFonts w:ascii="仿宋" w:hAnsi="仿宋" w:eastAsia="仿宋" w:cs="仿宋"/>
          <w:szCs w:val="32"/>
        </w:rPr>
      </w:pPr>
    </w:p>
    <w:p>
      <w:pPr>
        <w:pStyle w:val="7"/>
        <w:bidi w:val="0"/>
        <w:outlineLvl w:val="0"/>
        <w:rPr>
          <w:rFonts w:hint="eastAsia"/>
          <w:sz w:val="36"/>
          <w:szCs w:val="36"/>
          <w:lang w:val="en-US" w:eastAsia="zh-CN"/>
        </w:rPr>
      </w:pPr>
      <w:bookmarkStart w:id="307" w:name="_Toc2042659175"/>
      <w:r>
        <w:rPr>
          <w:rFonts w:hint="eastAsia"/>
          <w:sz w:val="36"/>
          <w:szCs w:val="36"/>
          <w:lang w:val="en-US" w:eastAsia="zh-CN"/>
        </w:rPr>
        <w:t>二十二、浙商银行“专精特新”企业专属金融产品</w:t>
      </w:r>
      <w:bookmarkEnd w:id="307"/>
    </w:p>
    <w:p>
      <w:pPr>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outlineLvl w:val="0"/>
        <w:rPr>
          <w:rFonts w:hint="eastAsia" w:ascii="楷体" w:hAnsi="楷体" w:eastAsia="楷体" w:cs="楷体"/>
          <w:b/>
          <w:bCs/>
          <w:color w:val="auto"/>
          <w:sz w:val="32"/>
          <w:szCs w:val="32"/>
          <w:highlight w:val="none"/>
          <w:lang w:val="en-US" w:eastAsia="zh-CN"/>
        </w:rPr>
      </w:pPr>
      <w:bookmarkStart w:id="308" w:name="OLE_LINK4"/>
      <w:bookmarkStart w:id="309" w:name="OLE_LINK6"/>
    </w:p>
    <w:p>
      <w:pPr>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outlineLvl w:val="0"/>
        <w:rPr>
          <w:rFonts w:hint="eastAsia" w:ascii="楷体" w:hAnsi="楷体" w:eastAsia="楷体" w:cs="楷体"/>
          <w:b/>
          <w:bCs/>
          <w:color w:val="auto"/>
          <w:sz w:val="32"/>
          <w:szCs w:val="32"/>
          <w:highlight w:val="none"/>
          <w:lang w:val="en-US" w:eastAsia="zh-CN"/>
        </w:rPr>
      </w:pPr>
      <w:bookmarkStart w:id="310" w:name="_Toc1915316864"/>
      <w:r>
        <w:rPr>
          <w:rFonts w:hint="eastAsia" w:ascii="楷体" w:hAnsi="楷体" w:eastAsia="楷体" w:cs="楷体"/>
          <w:b/>
          <w:bCs/>
          <w:color w:val="auto"/>
          <w:sz w:val="32"/>
          <w:szCs w:val="32"/>
          <w:highlight w:val="none"/>
          <w:lang w:val="en-US" w:eastAsia="zh-CN"/>
        </w:rPr>
        <w:t>（一）人才支持贷</w:t>
      </w:r>
      <w:bookmarkEnd w:id="310"/>
    </w:p>
    <w:bookmarkEnd w:id="308"/>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bookmarkStart w:id="311" w:name="OLE_LINK5"/>
      <w:r>
        <w:rPr>
          <w:rFonts w:hint="eastAsia" w:ascii="仿宋_GB2312" w:hAnsi="仿宋_GB2312" w:eastAsia="仿宋_GB2312" w:cs="仿宋_GB2312"/>
          <w:b/>
          <w:bCs/>
          <w:color w:val="auto"/>
          <w:lang w:val="en-US" w:eastAsia="zh-CN"/>
        </w:rPr>
        <w:t>1.产品简介：</w:t>
      </w:r>
      <w:r>
        <w:rPr>
          <w:rFonts w:hint="eastAsia" w:ascii="仿宋_GB2312" w:hAnsi="仿宋_GB2312" w:eastAsia="仿宋_GB2312" w:cs="仿宋_GB2312"/>
          <w:color w:val="auto"/>
          <w:lang w:eastAsia="zh-CN"/>
        </w:rPr>
        <w:t>人才支持贷，浙商银行以“人力资本”作为授信额度核定的重要依据，为高层次人才作为创始人和主导者的新兴技术企业提供信用贷款等融资业务服务。</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2.适用对象</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eastAsia="zh-CN"/>
        </w:rPr>
        <w:t>获得各级政府认定的高层次人才，作为实控人/法人/股东的企业。</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3.贷款额度：</w:t>
      </w:r>
      <w:r>
        <w:rPr>
          <w:rFonts w:hint="eastAsia" w:ascii="仿宋_GB2312" w:hAnsi="仿宋_GB2312" w:eastAsia="仿宋_GB2312" w:cs="仿宋_GB2312"/>
          <w:color w:val="auto"/>
          <w:lang w:val="en-US" w:eastAsia="zh-CN"/>
        </w:rPr>
        <w:t>初创期小微企业：最高1500万信用贷款；大中型科创企业：不设上限。</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4.贷款期限：</w:t>
      </w:r>
      <w:r>
        <w:rPr>
          <w:rFonts w:hint="eastAsia" w:ascii="仿宋_GB2312" w:hAnsi="仿宋_GB2312" w:eastAsia="仿宋_GB2312" w:cs="仿宋_GB2312"/>
          <w:color w:val="auto"/>
          <w:lang w:val="en-US" w:eastAsia="zh-CN"/>
        </w:rPr>
        <w:t>最长3年。</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5.产品特色：</w:t>
      </w:r>
      <w:r>
        <w:rPr>
          <w:rFonts w:hint="default" w:ascii="仿宋_GB2312" w:hAnsi="仿宋_GB2312" w:eastAsia="仿宋_GB2312" w:cs="仿宋_GB2312"/>
          <w:color w:val="auto"/>
          <w:lang w:val="en-US" w:eastAsia="zh-CN"/>
        </w:rPr>
        <w:t>支持信用贷款，无需抵押、担保</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初创期小微企业凭人才证明文件、营业执照、经营佐证材料快速申请</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审批绿色通道，支持线上提款</w:t>
      </w:r>
      <w:r>
        <w:rPr>
          <w:rFonts w:hint="eastAsia" w:ascii="仿宋_GB2312" w:hAnsi="仿宋_GB2312" w:eastAsia="仿宋_GB2312" w:cs="仿宋_GB2312"/>
          <w:color w:val="auto"/>
          <w:lang w:val="en-US" w:eastAsia="zh-CN"/>
        </w:rPr>
        <w:t>。</w:t>
      </w:r>
    </w:p>
    <w:p>
      <w:pPr>
        <w:pStyle w:val="4"/>
        <w:pageBreakBefore w:val="0"/>
        <w:widowControl/>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仿宋_GB2312" w:hAnsi="仿宋_GB2312" w:eastAsia="仿宋_GB2312" w:cs="仿宋_GB2312"/>
          <w:color w:val="auto"/>
          <w:lang w:val="en-US" w:eastAsia="zh-CN"/>
        </w:rPr>
      </w:pPr>
    </w:p>
    <w:bookmarkEnd w:id="309"/>
    <w:bookmarkEnd w:id="311"/>
    <w:p>
      <w:pPr>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outlineLvl w:val="0"/>
        <w:rPr>
          <w:rFonts w:hint="eastAsia" w:ascii="楷体" w:hAnsi="楷体" w:eastAsia="楷体" w:cs="楷体"/>
          <w:b/>
          <w:bCs/>
          <w:color w:val="auto"/>
          <w:sz w:val="32"/>
          <w:szCs w:val="32"/>
          <w:highlight w:val="none"/>
          <w:lang w:val="en-US" w:eastAsia="zh-CN"/>
        </w:rPr>
      </w:pPr>
      <w:bookmarkStart w:id="312" w:name="_Toc568457993"/>
      <w:r>
        <w:rPr>
          <w:rFonts w:hint="eastAsia" w:ascii="楷体" w:hAnsi="楷体" w:eastAsia="楷体" w:cs="楷体"/>
          <w:b/>
          <w:bCs/>
          <w:color w:val="auto"/>
          <w:sz w:val="32"/>
          <w:szCs w:val="32"/>
          <w:highlight w:val="none"/>
          <w:lang w:val="en-US" w:eastAsia="zh-CN"/>
        </w:rPr>
        <w:t>（二）科创共担贷</w:t>
      </w:r>
      <w:bookmarkEnd w:id="312"/>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1.产品简介：</w:t>
      </w:r>
      <w:r>
        <w:rPr>
          <w:rFonts w:hint="eastAsia" w:ascii="仿宋_GB2312" w:hAnsi="仿宋_GB2312" w:eastAsia="仿宋_GB2312" w:cs="仿宋_GB2312"/>
          <w:color w:val="auto"/>
          <w:lang w:eastAsia="zh-CN"/>
        </w:rPr>
        <w:t>由地方政府主导，浙商银行与政府、担保公司、保险公司等机构组成多方风险共担组合，由我行向借款企业提供融资，合作机构按事先商议的比例承担（代偿）我行可能发生的不良损失，分担我行向借款企业提供融资的风险，并由政府对我行或借款企业予以一定补贴（若有）的一种融资服务产品。</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2.适用对象</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val="en-US" w:eastAsia="zh-CN"/>
        </w:rPr>
        <w:t>近三年区县及以上专精特新、瞪羚、高新技术及培育企业；近三年获得政府投资（引导）基金投资的科创企业；清科排名前50名VC/PE投资机构投资的科创企业；各级政府认定的高层次人才作为创始人/主导者的科创企业。</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3.贷款额度：</w:t>
      </w:r>
      <w:r>
        <w:rPr>
          <w:rFonts w:hint="eastAsia" w:ascii="仿宋_GB2312" w:hAnsi="仿宋_GB2312" w:eastAsia="仿宋_GB2312" w:cs="仿宋_GB2312"/>
          <w:color w:val="auto"/>
          <w:lang w:val="en-US" w:eastAsia="zh-CN"/>
        </w:rPr>
        <w:t>贷款金额：我行认定的科创企业最高2000万元；贷款期限：单笔业务原则上不超过1年，</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4.贷款期限：</w:t>
      </w:r>
      <w:r>
        <w:rPr>
          <w:rFonts w:hint="eastAsia" w:ascii="仿宋_GB2312" w:hAnsi="仿宋_GB2312" w:eastAsia="仿宋_GB2312" w:cs="仿宋_GB2312"/>
          <w:color w:val="auto"/>
          <w:lang w:val="en-US" w:eastAsia="zh-CN"/>
        </w:rPr>
        <w:t>最长可延长至3年。</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bookmarkStart w:id="313" w:name="OLE_LINK8"/>
      <w:r>
        <w:rPr>
          <w:rFonts w:hint="eastAsia" w:ascii="仿宋_GB2312" w:hAnsi="仿宋_GB2312" w:eastAsia="仿宋_GB2312" w:cs="仿宋_GB2312"/>
          <w:b/>
          <w:bCs/>
          <w:color w:val="auto"/>
          <w:lang w:val="en-US" w:eastAsia="zh-CN"/>
        </w:rPr>
        <w:t>5.合作模式</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方模式：银行+政府/担保/保险；</w:t>
      </w:r>
      <w:r>
        <w:rPr>
          <w:rFonts w:hint="eastAsia" w:ascii="仿宋_GB2312" w:hAnsi="仿宋_GB2312" w:eastAsia="仿宋_GB2312" w:cs="仿宋_GB2312"/>
          <w:color w:val="auto"/>
          <w:lang w:val="en-US" w:eastAsia="zh-CN"/>
        </w:rPr>
        <w:t>三</w:t>
      </w:r>
      <w:r>
        <w:rPr>
          <w:rFonts w:hint="eastAsia" w:ascii="仿宋_GB2312" w:hAnsi="仿宋_GB2312" w:eastAsia="仿宋_GB2312" w:cs="仿宋_GB2312"/>
          <w:color w:val="auto"/>
          <w:lang w:eastAsia="zh-CN"/>
        </w:rPr>
        <w:t>方模式：银行+政府+担保/保险；我行承担本金风险比例原则不超30%。</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楷体" w:hAnsi="楷体" w:eastAsia="楷体" w:cs="楷体"/>
          <w:b/>
          <w:bCs/>
          <w:color w:val="auto"/>
          <w:sz w:val="32"/>
          <w:szCs w:val="32"/>
          <w:highlight w:val="none"/>
          <w:lang w:val="en-US" w:eastAsia="zh-CN"/>
        </w:rPr>
      </w:pP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（三）专精特新贷</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1.产品简介：</w:t>
      </w:r>
      <w:r>
        <w:rPr>
          <w:rFonts w:hint="eastAsia" w:ascii="仿宋_GB2312" w:hAnsi="仿宋_GB2312" w:eastAsia="仿宋_GB2312" w:cs="仿宋_GB2312"/>
          <w:color w:val="auto"/>
          <w:lang w:eastAsia="zh-CN"/>
        </w:rPr>
        <w:t>指以信用、抵质押、保证等担保方式，为“专精特新”企业提供一定授信额度的表内外融资业务。辅以名单制管理、差异化授信政策、差异化担保政策等支撑。</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bookmarkStart w:id="314" w:name="OLE_LINK7"/>
      <w:r>
        <w:rPr>
          <w:rFonts w:hint="eastAsia" w:ascii="仿宋_GB2312" w:hAnsi="仿宋_GB2312" w:eastAsia="仿宋_GB2312" w:cs="仿宋_GB2312"/>
          <w:b/>
          <w:bCs/>
          <w:color w:val="auto"/>
          <w:lang w:val="en-US" w:eastAsia="zh-CN"/>
        </w:rPr>
        <w:t>2.适用对象</w:t>
      </w:r>
      <w:r>
        <w:rPr>
          <w:rFonts w:hint="eastAsia" w:ascii="仿宋_GB2312" w:hAnsi="仿宋_GB2312" w:eastAsia="仿宋_GB2312" w:cs="仿宋_GB2312"/>
          <w:b/>
          <w:bCs/>
          <w:color w:val="auto"/>
          <w:lang w:eastAsia="zh-CN"/>
        </w:rPr>
        <w:t>：</w:t>
      </w:r>
      <w:bookmarkEnd w:id="314"/>
      <w:r>
        <w:rPr>
          <w:rFonts w:hint="eastAsia" w:ascii="仿宋_GB2312" w:hAnsi="仿宋_GB2312" w:eastAsia="仿宋_GB2312" w:cs="仿宋_GB2312"/>
          <w:color w:val="auto"/>
          <w:lang w:eastAsia="zh-CN"/>
        </w:rPr>
        <w:t>国家级、省级、地市级“专精特新”企业；“专精特新”入库培育企业（名单制）。</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3.额度限制：</w:t>
      </w:r>
      <w:r>
        <w:rPr>
          <w:rFonts w:hint="eastAsia" w:ascii="仿宋_GB2312" w:hAnsi="仿宋_GB2312" w:eastAsia="仿宋_GB2312" w:cs="仿宋_GB2312"/>
          <w:color w:val="auto"/>
          <w:lang w:val="en-US" w:eastAsia="zh-CN"/>
        </w:rPr>
        <w:t>国家级专精特新小巨人：最高5000万信用贷款；省级专精特新：最高3000万信用贷款；地市级专精特新：最高1500万信用贷款。</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4.产品特色：</w:t>
      </w:r>
      <w:r>
        <w:rPr>
          <w:rFonts w:hint="default" w:ascii="仿宋_GB2312" w:hAnsi="仿宋_GB2312" w:eastAsia="仿宋_GB2312" w:cs="仿宋_GB2312"/>
          <w:color w:val="auto"/>
          <w:lang w:val="en-US" w:eastAsia="zh-CN"/>
        </w:rPr>
        <w:t>本行信用评级A3及以上，可不受本行授信基本政策相关要求限制。若客户为清科集团近3年公布的股权投资前30名的投资机构，或省级及以上政府投资基金投资企业，可不受上述准入条件限制。专精特新企业授信担保方式为房地产抵押的，按本行“专精特新”专项授信政策，实行差异化抵押率，抵押率最高可达100%。</w:t>
      </w:r>
    </w:p>
    <w:p>
      <w:pPr>
        <w:pStyle w:val="4"/>
        <w:pageBreakBefore w:val="0"/>
        <w:widowControl/>
        <w:kinsoku/>
        <w:wordWrap/>
        <w:overflowPunct/>
        <w:topLinePunct w:val="0"/>
        <w:autoSpaceDE/>
        <w:autoSpaceDN/>
        <w:bidi w:val="0"/>
        <w:adjustRightInd/>
        <w:snapToGrid/>
        <w:spacing w:beforeAutospacing="0" w:line="600" w:lineRule="exact"/>
        <w:ind w:left="0" w:leftChars="0" w:firstLine="640" w:firstLineChars="200"/>
        <w:textAlignment w:val="auto"/>
        <w:outlineLvl w:val="9"/>
        <w:rPr>
          <w:rFonts w:hint="default" w:ascii="仿宋_GB2312" w:hAnsi="仿宋_GB2312" w:eastAsia="仿宋_GB2312" w:cs="仿宋_GB2312"/>
          <w:color w:val="auto"/>
          <w:lang w:val="en-US" w:eastAsia="zh-CN"/>
        </w:rPr>
      </w:pPr>
    </w:p>
    <w:bookmarkEnd w:id="313"/>
    <w:p>
      <w:pPr>
        <w:pageBreakBefore w:val="0"/>
        <w:widowControl w:val="0"/>
        <w:kinsoku/>
        <w:wordWrap/>
        <w:overflowPunct/>
        <w:topLinePunct w:val="0"/>
        <w:autoSpaceDE/>
        <w:autoSpaceDN/>
        <w:bidi w:val="0"/>
        <w:adjustRightInd/>
        <w:snapToGrid/>
        <w:spacing w:beforeAutospacing="0" w:line="600" w:lineRule="exact"/>
        <w:ind w:firstLine="642" w:firstLineChars="200"/>
        <w:textAlignment w:val="auto"/>
        <w:outlineLvl w:val="0"/>
        <w:rPr>
          <w:rFonts w:hint="eastAsia" w:ascii="楷体" w:hAnsi="楷体" w:eastAsia="楷体" w:cs="楷体"/>
          <w:b/>
          <w:bCs/>
          <w:color w:val="auto"/>
          <w:sz w:val="32"/>
          <w:szCs w:val="32"/>
          <w:highlight w:val="none"/>
          <w:lang w:val="en-US" w:eastAsia="zh-CN"/>
        </w:rPr>
      </w:pPr>
      <w:bookmarkStart w:id="315" w:name="_Toc2130827574"/>
      <w:bookmarkStart w:id="316" w:name="OLE_LINK9"/>
      <w:r>
        <w:rPr>
          <w:rFonts w:hint="eastAsia" w:ascii="楷体" w:hAnsi="楷体" w:eastAsia="楷体" w:cs="楷体"/>
          <w:b/>
          <w:bCs/>
          <w:color w:val="auto"/>
          <w:sz w:val="32"/>
          <w:szCs w:val="32"/>
          <w:highlight w:val="none"/>
          <w:lang w:val="en-US" w:eastAsia="zh-CN"/>
        </w:rPr>
        <w:t>（四）科创银投贷</w:t>
      </w:r>
      <w:bookmarkEnd w:id="315"/>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1.产品简介：</w:t>
      </w:r>
      <w:r>
        <w:rPr>
          <w:rFonts w:hint="eastAsia" w:ascii="仿宋_GB2312" w:hAnsi="仿宋_GB2312" w:eastAsia="仿宋_GB2312" w:cs="仿宋_GB2312"/>
          <w:color w:val="auto"/>
          <w:lang w:eastAsia="zh-CN"/>
        </w:rPr>
        <w:t>指针对经总行准入的外部私募股权机构或政府投资（引导）基金已投资或拟投资的科创企业，浙商银行在综合考虑企业未来发展前景和投资机构投资管理能力的基础上，以信用、股权质押、保证等担保方式，给予企业一定比例授信额度的业务。</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2.准入要求</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color w:val="auto"/>
          <w:lang w:val="en-US" w:eastAsia="zh-CN"/>
        </w:rPr>
        <w:t>投资机构：</w:t>
      </w:r>
      <w:r>
        <w:rPr>
          <w:rFonts w:hint="eastAsia" w:ascii="仿宋_GB2312" w:hAnsi="仿宋_GB2312" w:eastAsia="仿宋_GB2312" w:cs="仿宋_GB2312"/>
          <w:color w:val="auto"/>
          <w:lang w:eastAsia="zh-CN"/>
        </w:rPr>
        <w:t>高级管理团队人数不低于3名，且具备5年以上创业投资经验</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管理投资项目（或基金）至少2个以上，管理资产10亿以上</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投资机构或其核心管理团队人员有1个以上成功上市或被上市公司并购的项目。</w:t>
      </w:r>
      <w:r>
        <w:rPr>
          <w:rFonts w:hint="eastAsia" w:ascii="仿宋_GB2312" w:hAnsi="仿宋_GB2312" w:eastAsia="仿宋_GB2312" w:cs="仿宋_GB2312"/>
          <w:color w:val="auto"/>
          <w:lang w:val="en-US" w:eastAsia="zh-CN"/>
        </w:rPr>
        <w:t>借款人：成立3年及以上；具有良好的成长性，销售收入连续2年增长；有成熟产品或商业模式，已获得优质下游企业订单；获得A轮及以后投资且估值在已发生的每轮融资中均增长。</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3.额度限制：</w:t>
      </w:r>
      <w:r>
        <w:rPr>
          <w:rFonts w:hint="eastAsia" w:ascii="仿宋_GB2312" w:hAnsi="仿宋_GB2312" w:eastAsia="仿宋_GB2312" w:cs="仿宋_GB2312"/>
          <w:color w:val="auto"/>
          <w:lang w:val="en-US" w:eastAsia="zh-CN"/>
        </w:rPr>
        <w:t>单户银投贷产品项下授信额度最高不超2000万；不超过最近一次股权投资机构投资或拟投资金额的50%；同一轮次中有不同投资机构投资的，对本行准入投资机构可累加计算。</w:t>
      </w:r>
    </w:p>
    <w:p>
      <w:pPr>
        <w:pStyle w:val="4"/>
        <w:pageBreakBefore w:val="0"/>
        <w:widowControl/>
        <w:kinsoku/>
        <w:wordWrap/>
        <w:overflowPunct/>
        <w:topLinePunct w:val="0"/>
        <w:autoSpaceDE/>
        <w:autoSpaceDN/>
        <w:bidi w:val="0"/>
        <w:adjustRightInd/>
        <w:snapToGrid/>
        <w:spacing w:beforeAutospacing="0" w:line="600" w:lineRule="exact"/>
        <w:ind w:left="0" w:leftChars="0" w:firstLine="642" w:firstLineChars="200"/>
        <w:textAlignment w:val="auto"/>
        <w:outlineLvl w:val="9"/>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4.产品特色：</w:t>
      </w:r>
      <w:r>
        <w:rPr>
          <w:rFonts w:hint="default" w:ascii="仿宋_GB2312" w:hAnsi="仿宋_GB2312" w:eastAsia="仿宋_GB2312" w:cs="仿宋_GB2312"/>
          <w:color w:val="auto"/>
          <w:lang w:val="en-US" w:eastAsia="zh-CN"/>
        </w:rPr>
        <w:t>单业务期限不得超过投资机构与借款人实际控制人约定的对赌条款期限或退出投资期限（如有）</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投前贷后模式下，期限一般1年，最长不超过3年，超过1年的仅针对项目贷款，且要求每半年还款一次</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贷前投后模式下，在确定投资机构取消股权投资意向时，本行有权宣布贷款即时到期（须在合同中约定）</w:t>
      </w:r>
      <w:r>
        <w:rPr>
          <w:rFonts w:hint="eastAsia" w:ascii="仿宋_GB2312" w:hAnsi="仿宋_GB2312" w:eastAsia="仿宋_GB2312" w:cs="仿宋_GB2312"/>
          <w:color w:val="auto"/>
          <w:lang w:val="en-US" w:eastAsia="zh-CN"/>
        </w:rPr>
        <w:t>。</w:t>
      </w:r>
    </w:p>
    <w:bookmarkEnd w:id="316"/>
    <w:p>
      <w:pPr>
        <w:pStyle w:val="4"/>
        <w:spacing w:line="600" w:lineRule="exact"/>
        <w:rPr>
          <w:rFonts w:ascii="仿宋" w:hAnsi="仿宋" w:eastAsia="仿宋" w:cs="仿宋"/>
          <w:szCs w:val="32"/>
        </w:rPr>
      </w:pP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ZFSK--GBK1-0">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auto"/>
    <w:pitch w:val="default"/>
    <w:sig w:usb0="00000000" w:usb1="00000000" w:usb2="00000016" w:usb3="00000000" w:csb0="00100001"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nE0d+oAQAAQQ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JY5bHNHx+7fjj1/Hny/kMtvTh1jjq6fwCGMWMcxaBwU2f1EFGYqlh7Ol&#10;ckhEYHG+XCyXFTov8G5KEIe9/h4gpnvpLclBQwFnVqzk+08xnZ5OT3I35++0MVjntXF/FRAzV1hm&#10;fOKYozRshpH4xrcHVNvjuBvqcB8pMQ8O3cybMQUwBZsp2AXQ2w6pzQuvGG52CUkUbrnDCXZsjHMq&#10;6sadyovwZ15evW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CcTR36gBAABBAwAADgAA&#10;AAAAAAABACAAAAAfAQAAZHJzL2Uyb0RvYy54bWxQSwUGAAAAAAYABgBZAQAAO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DA1083"/>
    <w:multiLevelType w:val="singleLevel"/>
    <w:tmpl w:val="FEDA10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WY3MTJhMGI3OWJhNDlhZWNhZDE1ZDgwMzQ1YWIifQ=="/>
  </w:docVars>
  <w:rsids>
    <w:rsidRoot w:val="00832B53"/>
    <w:rsid w:val="001915C6"/>
    <w:rsid w:val="00832B53"/>
    <w:rsid w:val="00B4541F"/>
    <w:rsid w:val="096B2AA3"/>
    <w:rsid w:val="0CD8556E"/>
    <w:rsid w:val="10EC72FE"/>
    <w:rsid w:val="25463300"/>
    <w:rsid w:val="3DC15C14"/>
    <w:rsid w:val="4D006905"/>
    <w:rsid w:val="4D69005B"/>
    <w:rsid w:val="533B1854"/>
    <w:rsid w:val="5733139C"/>
    <w:rsid w:val="581A6005"/>
    <w:rsid w:val="5D6E3FFF"/>
    <w:rsid w:val="5E22497E"/>
    <w:rsid w:val="60D8419D"/>
    <w:rsid w:val="65EB26C1"/>
    <w:rsid w:val="6BE33172"/>
    <w:rsid w:val="6D7A3B1D"/>
    <w:rsid w:val="76022D1D"/>
    <w:rsid w:val="7BC456B0"/>
    <w:rsid w:val="7CB7A769"/>
    <w:rsid w:val="7DD668D3"/>
    <w:rsid w:val="7EFE9A2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华文仿宋" w:cs="Times New Roman"/>
      <w:kern w:val="2"/>
      <w:sz w:val="32"/>
      <w:szCs w:val="24"/>
      <w:lang w:val="en-US" w:eastAsia="zh-CN" w:bidi="ar-SA"/>
    </w:rPr>
  </w:style>
  <w:style w:type="paragraph" w:styleId="5">
    <w:name w:val="heading 1"/>
    <w:basedOn w:val="1"/>
    <w:next w:val="1"/>
    <w:qFormat/>
    <w:uiPriority w:val="0"/>
    <w:pPr>
      <w:keepNext/>
      <w:keepLines/>
      <w:spacing w:before="340" w:after="330"/>
      <w:jc w:val="center"/>
      <w:outlineLvl w:val="0"/>
    </w:pPr>
    <w:rPr>
      <w:rFonts w:eastAsia="方正小标宋简体"/>
      <w:kern w:val="44"/>
      <w:sz w:val="44"/>
    </w:rPr>
  </w:style>
  <w:style w:type="paragraph" w:styleId="6">
    <w:name w:val="heading 2"/>
    <w:basedOn w:val="7"/>
    <w:next w:val="1"/>
    <w:qFormat/>
    <w:uiPriority w:val="0"/>
    <w:pPr>
      <w:keepNext/>
      <w:keepLines/>
      <w:outlineLvl w:val="1"/>
    </w:pPr>
    <w:rPr>
      <w:rFonts w:ascii="Arial" w:hAnsi="Arial" w:eastAsia="宋体" w:cs="Times New Roman"/>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ind w:firstLine="420" w:firstLineChars="200"/>
    </w:pPr>
    <w:rPr>
      <w:szCs w:val="21"/>
    </w:rPr>
  </w:style>
  <w:style w:type="paragraph" w:styleId="3">
    <w:name w:val="Body Text Indent"/>
    <w:basedOn w:val="1"/>
    <w:next w:val="2"/>
    <w:unhideWhenUsed/>
    <w:qFormat/>
    <w:uiPriority w:val="99"/>
    <w:pPr>
      <w:spacing w:after="120"/>
      <w:ind w:left="420" w:leftChars="200"/>
    </w:pPr>
    <w:rPr>
      <w:szCs w:val="22"/>
    </w:rPr>
  </w:style>
  <w:style w:type="paragraph" w:styleId="4">
    <w:name w:val="Body Text"/>
    <w:basedOn w:val="1"/>
    <w:qFormat/>
    <w:uiPriority w:val="0"/>
    <w:pPr>
      <w:widowControl/>
      <w:spacing w:line="360" w:lineRule="auto"/>
      <w:jc w:val="left"/>
    </w:pPr>
    <w:rPr>
      <w:rFonts w:ascii="Times New Roman" w:hAnsi="Times New Roman" w:eastAsia="宋体"/>
      <w:szCs w:val="20"/>
    </w:rPr>
  </w:style>
  <w:style w:type="paragraph" w:customStyle="1" w:styleId="7">
    <w:name w:val="一级标题"/>
    <w:basedOn w:val="1"/>
    <w:qFormat/>
    <w:uiPriority w:val="0"/>
    <w:pPr>
      <w:spacing w:line="600" w:lineRule="exact"/>
      <w:ind w:firstLine="723" w:firstLineChars="200"/>
    </w:pPr>
    <w:rPr>
      <w:rFonts w:hint="eastAsia" w:ascii="仿宋_GB2312" w:hAnsi="仿宋_GB2312" w:eastAsia="黑体" w:cs="仿宋_GB2312"/>
      <w:sz w:val="30"/>
      <w:szCs w:val="30"/>
    </w:rPr>
  </w:style>
  <w:style w:type="paragraph" w:styleId="8">
    <w:name w:val="annotation text"/>
    <w:basedOn w:val="1"/>
    <w:qFormat/>
    <w:uiPriority w:val="0"/>
    <w:pPr>
      <w:jc w:val="center"/>
    </w:pPr>
    <w:rPr>
      <w:rFonts w:eastAsia="宋体"/>
      <w:sz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fontstyle01"/>
    <w:basedOn w:val="12"/>
    <w:qFormat/>
    <w:uiPriority w:val="0"/>
    <w:rPr>
      <w:rFonts w:ascii="FZFSK--GBK1-0" w:hAnsi="FZFSK--GBK1-0" w:eastAsia="FZFSK--GBK1-0" w:cs="FZFSK--GBK1-0"/>
      <w:color w:val="000000"/>
      <w:sz w:val="32"/>
      <w:szCs w:val="32"/>
    </w:rPr>
  </w:style>
  <w:style w:type="character" w:customStyle="1" w:styleId="18">
    <w:name w:val="fontstyle21"/>
    <w:basedOn w:val="12"/>
    <w:qFormat/>
    <w:uiPriority w:val="0"/>
    <w:rPr>
      <w:rFonts w:ascii="FZFSK--GBK1-0" w:hAnsi="FZFSK--GBK1-0" w:eastAsia="FZFSK--GBK1-0" w:cs="FZFSK--GBK1-0"/>
      <w:color w:val="000000"/>
      <w:sz w:val="32"/>
      <w:szCs w:val="32"/>
    </w:rPr>
  </w:style>
  <w:style w:type="paragraph" w:customStyle="1" w:styleId="19">
    <w:name w:val="List Paragraph"/>
    <w:basedOn w:val="1"/>
    <w:qFormat/>
    <w:uiPriority w:val="34"/>
    <w:pPr>
      <w:ind w:firstLine="420" w:firstLineChars="200"/>
    </w:pPr>
  </w:style>
  <w:style w:type="character" w:customStyle="1" w:styleId="20">
    <w:name w:val="Char1"/>
    <w:qFormat/>
    <w:uiPriority w:val="0"/>
    <w:rPr>
      <w:rFonts w:hint="eastAsia" w:ascii="宋体" w:hAnsi="宋体" w:eastAsia="宋体" w:cs="Times New Roman"/>
      <w:b/>
      <w:bCs/>
      <w:kern w:val="2"/>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1803</Words>
  <Characters>10280</Characters>
  <Lines>85</Lines>
  <Paragraphs>24</Paragraphs>
  <TotalTime>0</TotalTime>
  <ScaleCrop>false</ScaleCrop>
  <LinksUpToDate>false</LinksUpToDate>
  <CharactersWithSpaces>12059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2022-01-28T18:45:00Z</dcterms:created>
  <dc:creator>陈辉岭</dc:creator>
  <cp:lastModifiedBy>RSNET</cp:lastModifiedBy>
  <dcterms:modified xsi:type="dcterms:W3CDTF">2023-08-17T02:53:34Z</dcterms:modified>
  <dc:title>福建省“专精特新”企业专属金融产品（金融服务方案）汇编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8D27407B2CD24C84B884E84B16C15284_13</vt:lpwstr>
  </property>
</Properties>
</file>