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Calibri" w:eastAsia="黑体"/>
          <w:sz w:val="32"/>
          <w:szCs w:val="32"/>
        </w:rPr>
      </w:pPr>
      <w:r>
        <w:rPr>
          <w:rFonts w:hint="eastAsia" w:ascii="黑体" w:hAnsi="黑体" w:eastAsia="黑体"/>
          <w:sz w:val="32"/>
          <w:szCs w:val="32"/>
        </w:rPr>
        <w:t>附件2</w:t>
      </w:r>
    </w:p>
    <w:p>
      <w:pPr>
        <w:spacing w:line="560" w:lineRule="exact"/>
        <w:jc w:val="center"/>
        <w:rPr>
          <w:rFonts w:ascii="方正小标宋简体" w:hAnsi="Calibri" w:eastAsia="方正小标宋简体"/>
          <w:sz w:val="44"/>
          <w:szCs w:val="44"/>
        </w:rPr>
      </w:pPr>
    </w:p>
    <w:p>
      <w:pPr>
        <w:spacing w:line="60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福建省鼓励金融机构服务非金融企业</w:t>
      </w:r>
    </w:p>
    <w:p>
      <w:pPr>
        <w:spacing w:line="60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债券融资评价评分</w:t>
      </w:r>
      <w:bookmarkStart w:id="0" w:name="_GoBack"/>
      <w:bookmarkEnd w:id="0"/>
      <w:r>
        <w:rPr>
          <w:rFonts w:hint="eastAsia" w:ascii="方正小标宋简体" w:hAnsi="Calibri" w:eastAsia="方正小标宋简体"/>
          <w:sz w:val="44"/>
          <w:szCs w:val="44"/>
        </w:rPr>
        <w:t>规则</w:t>
      </w:r>
    </w:p>
    <w:p>
      <w:pPr>
        <w:spacing w:line="600" w:lineRule="exact"/>
        <w:ind w:firstLine="656" w:firstLineChars="200"/>
        <w:rPr>
          <w:rFonts w:ascii="黑体" w:hAnsi="黑体" w:eastAsia="黑体"/>
          <w:sz w:val="32"/>
          <w:szCs w:val="32"/>
        </w:rPr>
      </w:pPr>
    </w:p>
    <w:p>
      <w:pPr>
        <w:spacing w:line="600" w:lineRule="exact"/>
        <w:ind w:firstLine="656" w:firstLineChars="200"/>
        <w:rPr>
          <w:rFonts w:ascii="黑体" w:hAnsi="黑体" w:eastAsia="黑体"/>
          <w:sz w:val="32"/>
          <w:szCs w:val="32"/>
        </w:rPr>
      </w:pPr>
      <w:r>
        <w:rPr>
          <w:rFonts w:hint="eastAsia" w:ascii="黑体" w:hAnsi="黑体" w:eastAsia="黑体"/>
          <w:sz w:val="32"/>
          <w:szCs w:val="32"/>
        </w:rPr>
        <w:t>一、评价对象</w:t>
      </w:r>
    </w:p>
    <w:p>
      <w:pPr>
        <w:spacing w:line="600" w:lineRule="exact"/>
        <w:ind w:firstLine="640"/>
        <w:rPr>
          <w:rFonts w:ascii="仿宋_GB2312" w:hAnsi="Calibri"/>
          <w:sz w:val="32"/>
          <w:szCs w:val="32"/>
        </w:rPr>
      </w:pPr>
      <w:r>
        <w:rPr>
          <w:rFonts w:hint="eastAsia" w:ascii="仿宋_GB2312" w:hAnsi="Calibri"/>
          <w:sz w:val="32"/>
          <w:szCs w:val="32"/>
        </w:rPr>
        <w:t>当年度参与债券承销，且自愿参与本评价的金融机构（含</w:t>
      </w:r>
      <w:r>
        <w:rPr>
          <w:rFonts w:hint="eastAsia" w:ascii="仿宋_GB2312" w:hAnsi="黑体"/>
          <w:sz w:val="32"/>
          <w:szCs w:val="32"/>
        </w:rPr>
        <w:t>在</w:t>
      </w:r>
      <w:r>
        <w:rPr>
          <w:rFonts w:hint="eastAsia" w:ascii="仿宋_GB2312" w:hAnsi="Calibri"/>
          <w:sz w:val="32"/>
          <w:szCs w:val="32"/>
        </w:rPr>
        <w:t>我省设立的证券公司和在我省开展业务的省外证券公司；在我省设立的银行机构和在我省开展业务的省外银行机构）。债券评价范围涵盖企业债、公司债、短期融资券、中期票据、定向工具、标准化票据、资产支持证券、可转换公司债、可交换公司债、REITs等债务融资工具。</w:t>
      </w:r>
    </w:p>
    <w:p>
      <w:pPr>
        <w:spacing w:line="600" w:lineRule="exact"/>
        <w:ind w:firstLine="640"/>
        <w:rPr>
          <w:rFonts w:ascii="黑体" w:hAnsi="黑体" w:eastAsia="黑体"/>
          <w:sz w:val="32"/>
          <w:szCs w:val="32"/>
        </w:rPr>
      </w:pPr>
      <w:r>
        <w:rPr>
          <w:rFonts w:hint="eastAsia" w:ascii="黑体" w:hAnsi="黑体" w:eastAsia="黑体"/>
          <w:sz w:val="32"/>
          <w:szCs w:val="32"/>
        </w:rPr>
        <w:t>二、评价内容</w:t>
      </w:r>
    </w:p>
    <w:p>
      <w:pPr>
        <w:spacing w:line="600" w:lineRule="exact"/>
        <w:ind w:firstLine="640"/>
        <w:rPr>
          <w:rFonts w:ascii="仿宋_GB2312" w:hAnsi="Calibri"/>
          <w:sz w:val="32"/>
          <w:szCs w:val="32"/>
        </w:rPr>
      </w:pPr>
      <w:r>
        <w:rPr>
          <w:rFonts w:hint="eastAsia" w:ascii="仿宋_GB2312" w:hAnsi="Calibri"/>
          <w:sz w:val="32"/>
          <w:szCs w:val="32"/>
        </w:rPr>
        <w:t>以参评金融机构服务企业债券融资作为评价内容，共设置7个评价指标，包括：当年新增承销非金融企业债券金额（</w:t>
      </w:r>
      <w:r>
        <w:rPr>
          <w:rFonts w:ascii="仿宋_GB2312" w:hAnsi="Calibri"/>
          <w:sz w:val="32"/>
          <w:szCs w:val="32"/>
        </w:rPr>
        <w:t>40%</w:t>
      </w:r>
      <w:r>
        <w:rPr>
          <w:rFonts w:hint="eastAsia" w:ascii="仿宋_GB2312" w:hAnsi="Calibri"/>
          <w:sz w:val="32"/>
          <w:szCs w:val="32"/>
        </w:rPr>
        <w:t>），当年服务发债的非金融企业数量（</w:t>
      </w:r>
      <w:r>
        <w:rPr>
          <w:rFonts w:ascii="仿宋_GB2312" w:hAnsi="Calibri"/>
          <w:sz w:val="32"/>
          <w:szCs w:val="32"/>
        </w:rPr>
        <w:t>20%</w:t>
      </w:r>
      <w:r>
        <w:rPr>
          <w:rFonts w:hint="eastAsia" w:ascii="仿宋_GB2312" w:hAnsi="Calibri"/>
          <w:sz w:val="32"/>
          <w:szCs w:val="32"/>
        </w:rPr>
        <w:t>），当年新增承销非金融民营企业债券金额（</w:t>
      </w:r>
      <w:r>
        <w:rPr>
          <w:rFonts w:ascii="仿宋_GB2312" w:hAnsi="Calibri"/>
          <w:sz w:val="32"/>
          <w:szCs w:val="32"/>
        </w:rPr>
        <w:t>10%</w:t>
      </w:r>
      <w:r>
        <w:rPr>
          <w:rFonts w:hint="eastAsia" w:ascii="仿宋_GB2312" w:hAnsi="Calibri"/>
          <w:sz w:val="32"/>
          <w:szCs w:val="32"/>
        </w:rPr>
        <w:t>），当年服务发债非金融民营企业家数（</w:t>
      </w:r>
      <w:r>
        <w:rPr>
          <w:rFonts w:ascii="仿宋_GB2312" w:hAnsi="Calibri"/>
          <w:sz w:val="32"/>
          <w:szCs w:val="32"/>
        </w:rPr>
        <w:t>10%</w:t>
      </w:r>
      <w:r>
        <w:rPr>
          <w:rFonts w:hint="eastAsia" w:ascii="仿宋_GB2312" w:hAnsi="Calibri"/>
          <w:sz w:val="32"/>
          <w:szCs w:val="32"/>
        </w:rPr>
        <w:t>），服务的发债企业是否出现债券违约风险（</w:t>
      </w:r>
      <w:r>
        <w:rPr>
          <w:rFonts w:ascii="仿宋_GB2312" w:hAnsi="Calibri"/>
          <w:sz w:val="32"/>
          <w:szCs w:val="32"/>
        </w:rPr>
        <w:t>20%</w:t>
      </w:r>
      <w:r>
        <w:rPr>
          <w:rFonts w:hint="eastAsia" w:ascii="仿宋_GB2312" w:hAnsi="Calibri"/>
          <w:sz w:val="32"/>
          <w:szCs w:val="32"/>
        </w:rPr>
        <w:t>），承销创新创业债、绿色债、小微企业增信集合债、REITs等情况（附加</w:t>
      </w:r>
      <w:r>
        <w:rPr>
          <w:rFonts w:ascii="仿宋_GB2312" w:hAnsi="Calibri"/>
          <w:sz w:val="32"/>
          <w:szCs w:val="32"/>
        </w:rPr>
        <w:t>6</w:t>
      </w:r>
      <w:r>
        <w:rPr>
          <w:rFonts w:hint="eastAsia" w:ascii="仿宋_GB2312" w:hAnsi="Calibri"/>
          <w:sz w:val="32"/>
          <w:szCs w:val="32"/>
        </w:rPr>
        <w:t>分），业务主管部门意见。</w:t>
      </w:r>
    </w:p>
    <w:p>
      <w:pPr>
        <w:spacing w:line="600" w:lineRule="exact"/>
        <w:ind w:firstLine="640"/>
        <w:rPr>
          <w:rFonts w:ascii="黑体" w:hAnsi="黑体" w:eastAsia="黑体"/>
          <w:sz w:val="32"/>
          <w:szCs w:val="32"/>
        </w:rPr>
      </w:pPr>
      <w:r>
        <w:rPr>
          <w:rFonts w:hint="eastAsia" w:ascii="黑体" w:hAnsi="黑体" w:eastAsia="黑体"/>
          <w:sz w:val="32"/>
          <w:szCs w:val="32"/>
        </w:rPr>
        <w:t>三、评分规则</w:t>
      </w:r>
    </w:p>
    <w:p>
      <w:pPr>
        <w:spacing w:line="600" w:lineRule="exact"/>
        <w:ind w:firstLine="640"/>
        <w:rPr>
          <w:rFonts w:ascii="仿宋_GB2312" w:hAnsi="Calibri"/>
          <w:sz w:val="32"/>
          <w:szCs w:val="32"/>
        </w:rPr>
      </w:pPr>
      <w:r>
        <w:rPr>
          <w:rFonts w:hint="eastAsia" w:ascii="仿宋_GB2312" w:hAnsi="Calibri"/>
          <w:sz w:val="32"/>
          <w:szCs w:val="32"/>
        </w:rPr>
        <w:t>采用百分制模式，每项指标得分</w:t>
      </w:r>
      <w:r>
        <w:rPr>
          <w:rFonts w:ascii="仿宋_GB2312" w:hAnsi="Calibri"/>
          <w:sz w:val="32"/>
          <w:szCs w:val="32"/>
        </w:rPr>
        <w:t>=</w:t>
      </w:r>
      <w:r>
        <w:rPr>
          <w:rFonts w:hint="eastAsia" w:ascii="仿宋_GB2312" w:hAnsi="Calibri"/>
          <w:sz w:val="32"/>
          <w:szCs w:val="32"/>
        </w:rPr>
        <w:t>基本分（若有）</w:t>
      </w:r>
      <w:r>
        <w:rPr>
          <w:rFonts w:ascii="仿宋_GB2312" w:hAnsi="Calibri"/>
          <w:sz w:val="32"/>
          <w:szCs w:val="32"/>
        </w:rPr>
        <w:t>+</w:t>
      </w:r>
      <w:r>
        <w:rPr>
          <w:rFonts w:hint="eastAsia" w:ascii="仿宋_GB2312" w:hAnsi="Calibri"/>
          <w:sz w:val="32"/>
          <w:szCs w:val="32"/>
        </w:rPr>
        <w:t>增量得分（若有），同时增设</w:t>
      </w:r>
      <w:r>
        <w:rPr>
          <w:rFonts w:ascii="仿宋_GB2312" w:hAnsi="Calibri"/>
          <w:sz w:val="32"/>
          <w:szCs w:val="32"/>
        </w:rPr>
        <w:t>1</w:t>
      </w:r>
      <w:r>
        <w:rPr>
          <w:rFonts w:hint="eastAsia" w:ascii="仿宋_GB2312" w:hAnsi="Calibri"/>
          <w:sz w:val="32"/>
          <w:szCs w:val="32"/>
        </w:rPr>
        <w:t>项附加分（若有），最终得分为所有指标得分的加总。每项指标的分值和考评标准如下表所示。</w:t>
      </w:r>
    </w:p>
    <w:p>
      <w:pPr>
        <w:spacing w:line="580" w:lineRule="exact"/>
        <w:ind w:firstLine="640"/>
        <w:rPr>
          <w:rFonts w:ascii="仿宋_GB2312" w:hAnsi="Calibri"/>
          <w:sz w:val="32"/>
          <w:szCs w:val="32"/>
        </w:rPr>
      </w:pPr>
    </w:p>
    <w:tbl>
      <w:tblPr>
        <w:tblStyle w:val="5"/>
        <w:tblW w:w="9483" w:type="dxa"/>
        <w:jc w:val="center"/>
        <w:tblInd w:w="-176" w:type="dxa"/>
        <w:tblLayout w:type="fixed"/>
        <w:tblCellMar>
          <w:top w:w="0" w:type="dxa"/>
          <w:left w:w="108" w:type="dxa"/>
          <w:bottom w:w="0" w:type="dxa"/>
          <w:right w:w="108" w:type="dxa"/>
        </w:tblCellMar>
      </w:tblPr>
      <w:tblGrid>
        <w:gridCol w:w="742"/>
        <w:gridCol w:w="1762"/>
        <w:gridCol w:w="3719"/>
        <w:gridCol w:w="2519"/>
        <w:gridCol w:w="741"/>
      </w:tblGrid>
      <w:tr>
        <w:tblPrEx>
          <w:tblLayout w:type="fixed"/>
          <w:tblCellMar>
            <w:top w:w="0" w:type="dxa"/>
            <w:left w:w="108" w:type="dxa"/>
            <w:bottom w:w="0" w:type="dxa"/>
            <w:right w:w="108" w:type="dxa"/>
          </w:tblCellMar>
        </w:tblPrEx>
        <w:trPr>
          <w:trHeight w:val="23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color w:val="000000"/>
                <w:kern w:val="0"/>
                <w:sz w:val="24"/>
              </w:rPr>
              <w:t>序号</w:t>
            </w:r>
          </w:p>
        </w:tc>
        <w:tc>
          <w:tcPr>
            <w:tcW w:w="176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color w:val="000000"/>
                <w:kern w:val="0"/>
                <w:sz w:val="24"/>
              </w:rPr>
              <w:t>评价指标</w:t>
            </w:r>
          </w:p>
        </w:tc>
        <w:tc>
          <w:tcPr>
            <w:tcW w:w="371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color w:val="000000"/>
                <w:kern w:val="0"/>
                <w:sz w:val="24"/>
              </w:rPr>
              <w:t>考评标准</w:t>
            </w:r>
          </w:p>
        </w:tc>
        <w:tc>
          <w:tcPr>
            <w:tcW w:w="251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color w:val="000000"/>
                <w:kern w:val="0"/>
                <w:sz w:val="24"/>
              </w:rPr>
              <w:t>数据来源</w:t>
            </w:r>
          </w:p>
        </w:tc>
        <w:tc>
          <w:tcPr>
            <w:tcW w:w="74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b/>
                <w:color w:val="000000"/>
                <w:kern w:val="0"/>
                <w:sz w:val="24"/>
              </w:rPr>
            </w:pPr>
            <w:r>
              <w:rPr>
                <w:rFonts w:hint="eastAsia" w:ascii="宋体" w:hAnsi="宋体" w:eastAsia="宋体" w:cs="宋体"/>
                <w:b/>
                <w:color w:val="000000"/>
                <w:kern w:val="0"/>
                <w:sz w:val="24"/>
              </w:rPr>
              <w:t>权重</w:t>
            </w:r>
          </w:p>
        </w:tc>
      </w:tr>
      <w:tr>
        <w:tblPrEx>
          <w:tblLayout w:type="fixed"/>
          <w:tblCellMar>
            <w:top w:w="0" w:type="dxa"/>
            <w:left w:w="108" w:type="dxa"/>
            <w:bottom w:w="0" w:type="dxa"/>
            <w:right w:w="108" w:type="dxa"/>
          </w:tblCellMar>
        </w:tblPrEx>
        <w:trPr>
          <w:trHeight w:val="236" w:hRule="atLeast"/>
          <w:jc w:val="center"/>
        </w:trPr>
        <w:tc>
          <w:tcPr>
            <w:tcW w:w="742" w:type="dxa"/>
            <w:tcBorders>
              <w:top w:val="nil"/>
              <w:left w:val="single" w:color="auto" w:sz="4" w:space="0"/>
              <w:bottom w:val="single" w:color="auto" w:sz="4" w:space="0"/>
              <w:right w:val="single" w:color="auto" w:sz="4" w:space="0"/>
            </w:tcBorders>
            <w:vAlign w:val="center"/>
          </w:tcPr>
          <w:p>
            <w:pPr>
              <w:widowControl/>
              <w:spacing w:line="410" w:lineRule="exact"/>
              <w:jc w:val="center"/>
              <w:rPr>
                <w:rFonts w:ascii="宋体" w:hAnsi="Calibri" w:eastAsia="宋体" w:cs="宋体"/>
                <w:color w:val="000000"/>
                <w:kern w:val="0"/>
                <w:sz w:val="24"/>
              </w:rPr>
            </w:pPr>
            <w:r>
              <w:rPr>
                <w:rFonts w:ascii="宋体" w:hAnsi="宋体" w:eastAsia="宋体" w:cs="宋体"/>
                <w:color w:val="000000"/>
                <w:kern w:val="0"/>
                <w:sz w:val="24"/>
              </w:rPr>
              <w:t>1</w:t>
            </w:r>
          </w:p>
        </w:tc>
        <w:tc>
          <w:tcPr>
            <w:tcW w:w="1762" w:type="dxa"/>
            <w:tcBorders>
              <w:top w:val="nil"/>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sz w:val="24"/>
              </w:rPr>
              <w:t>当年新增承销非金融企业债券金额</w:t>
            </w:r>
          </w:p>
        </w:tc>
        <w:tc>
          <w:tcPr>
            <w:tcW w:w="3719" w:type="dxa"/>
            <w:tcBorders>
              <w:top w:val="nil"/>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当年度参评机构参与承销我省非金融企业在银行间市场与沪深交易所发行的债券金额按从高到低顺序排名。第一名得</w:t>
            </w:r>
            <w:r>
              <w:rPr>
                <w:rFonts w:ascii="宋体" w:hAnsi="宋体" w:eastAsia="宋体" w:cs="宋体"/>
                <w:color w:val="000000"/>
                <w:kern w:val="0"/>
                <w:sz w:val="24"/>
              </w:rPr>
              <w:t>40</w:t>
            </w:r>
            <w:r>
              <w:rPr>
                <w:rFonts w:hint="eastAsia" w:ascii="宋体" w:hAnsi="宋体" w:eastAsia="宋体" w:cs="宋体"/>
                <w:color w:val="000000"/>
                <w:kern w:val="0"/>
                <w:sz w:val="24"/>
              </w:rPr>
              <w:t>分，第二名得</w:t>
            </w:r>
            <w:r>
              <w:rPr>
                <w:rFonts w:ascii="宋体" w:hAnsi="宋体" w:eastAsia="宋体" w:cs="宋体"/>
                <w:color w:val="000000"/>
                <w:kern w:val="0"/>
                <w:sz w:val="24"/>
              </w:rPr>
              <w:t>38</w:t>
            </w:r>
            <w:r>
              <w:rPr>
                <w:rFonts w:hint="eastAsia" w:ascii="宋体" w:hAnsi="宋体" w:eastAsia="宋体" w:cs="宋体"/>
                <w:color w:val="000000"/>
                <w:kern w:val="0"/>
                <w:sz w:val="24"/>
              </w:rPr>
              <w:t>分，每降一名减</w:t>
            </w:r>
            <w:r>
              <w:rPr>
                <w:rFonts w:ascii="宋体" w:hAnsi="宋体" w:eastAsia="宋体" w:cs="宋体"/>
                <w:color w:val="000000"/>
                <w:kern w:val="0"/>
                <w:sz w:val="24"/>
              </w:rPr>
              <w:t>2</w:t>
            </w:r>
            <w:r>
              <w:rPr>
                <w:rFonts w:hint="eastAsia" w:ascii="宋体" w:hAnsi="宋体" w:eastAsia="宋体" w:cs="宋体"/>
                <w:color w:val="000000"/>
                <w:kern w:val="0"/>
                <w:sz w:val="24"/>
              </w:rPr>
              <w:t>分，以此类推，第二十名之后不得分。</w:t>
            </w:r>
          </w:p>
        </w:tc>
        <w:tc>
          <w:tcPr>
            <w:tcW w:w="2519" w:type="dxa"/>
            <w:tcBorders>
              <w:top w:val="nil"/>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各机构自主申报、相关主管部门核实、</w:t>
            </w:r>
            <w:r>
              <w:rPr>
                <w:rFonts w:ascii="宋体" w:hAnsi="宋体" w:eastAsia="宋体" w:cs="宋体"/>
                <w:color w:val="000000"/>
                <w:kern w:val="0"/>
                <w:sz w:val="24"/>
              </w:rPr>
              <w:t>WIND</w:t>
            </w:r>
            <w:r>
              <w:rPr>
                <w:rFonts w:hint="eastAsia" w:ascii="宋体" w:hAnsi="宋体" w:eastAsia="宋体" w:cs="宋体"/>
                <w:color w:val="000000"/>
                <w:kern w:val="0"/>
                <w:sz w:val="24"/>
              </w:rPr>
              <w:t>。</w:t>
            </w:r>
          </w:p>
        </w:tc>
        <w:tc>
          <w:tcPr>
            <w:tcW w:w="741" w:type="dxa"/>
            <w:tcBorders>
              <w:top w:val="nil"/>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r>
              <w:rPr>
                <w:rFonts w:ascii="宋体" w:hAnsi="宋体" w:eastAsia="宋体" w:cs="宋体"/>
                <w:color w:val="000000"/>
                <w:kern w:val="0"/>
                <w:sz w:val="24"/>
              </w:rPr>
              <w:t>4</w:t>
            </w:r>
            <w:r>
              <w:rPr>
                <w:rFonts w:ascii="宋体" w:hAnsi="Calibri" w:eastAsia="宋体" w:cs="宋体"/>
                <w:color w:val="000000"/>
                <w:kern w:val="0"/>
                <w:sz w:val="24"/>
              </w:rPr>
              <w:t>0</w:t>
            </w:r>
            <w:r>
              <w:rPr>
                <w:rFonts w:ascii="宋体" w:hAnsi="宋体" w:eastAsia="宋体" w:cs="宋体"/>
                <w:color w:val="000000"/>
                <w:kern w:val="0"/>
                <w:sz w:val="24"/>
              </w:rPr>
              <w:t>%</w:t>
            </w:r>
          </w:p>
        </w:tc>
      </w:tr>
      <w:tr>
        <w:tblPrEx>
          <w:tblLayout w:type="fixed"/>
          <w:tblCellMar>
            <w:top w:w="0" w:type="dxa"/>
            <w:left w:w="108" w:type="dxa"/>
            <w:bottom w:w="0" w:type="dxa"/>
            <w:right w:w="108" w:type="dxa"/>
          </w:tblCellMar>
        </w:tblPrEx>
        <w:trPr>
          <w:trHeight w:val="23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410" w:lineRule="exact"/>
              <w:jc w:val="center"/>
              <w:rPr>
                <w:rFonts w:ascii="宋体" w:hAnsi="Calibri" w:eastAsia="宋体" w:cs="宋体"/>
                <w:color w:val="000000"/>
                <w:kern w:val="0"/>
                <w:sz w:val="24"/>
              </w:rPr>
            </w:pPr>
            <w:r>
              <w:rPr>
                <w:rFonts w:ascii="宋体" w:hAnsi="宋体" w:eastAsia="宋体" w:cs="宋体"/>
                <w:color w:val="000000"/>
                <w:kern w:val="0"/>
                <w:sz w:val="24"/>
              </w:rPr>
              <w:t>2</w:t>
            </w:r>
          </w:p>
        </w:tc>
        <w:tc>
          <w:tcPr>
            <w:tcW w:w="1762"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sz w:val="24"/>
              </w:rPr>
            </w:pPr>
            <w:r>
              <w:rPr>
                <w:rFonts w:hint="eastAsia" w:ascii="宋体" w:hAnsi="宋体" w:eastAsia="宋体" w:cs="宋体"/>
                <w:color w:val="000000"/>
                <w:sz w:val="24"/>
              </w:rPr>
              <w:t>当年服务发债的非金融企业数量</w:t>
            </w:r>
          </w:p>
        </w:tc>
        <w:tc>
          <w:tcPr>
            <w:tcW w:w="3719" w:type="dxa"/>
            <w:tcBorders>
              <w:top w:val="single" w:color="auto" w:sz="4" w:space="0"/>
              <w:left w:val="nil"/>
              <w:bottom w:val="single" w:color="auto" w:sz="4" w:space="0"/>
              <w:right w:val="single" w:color="auto" w:sz="4" w:space="0"/>
            </w:tcBorders>
            <w:vAlign w:val="center"/>
          </w:tcPr>
          <w:p>
            <w:pPr>
              <w:widowControl/>
              <w:spacing w:line="410" w:lineRule="exact"/>
              <w:ind w:left="34"/>
              <w:jc w:val="left"/>
              <w:rPr>
                <w:rFonts w:ascii="宋体" w:hAnsi="Calibri" w:eastAsia="宋体" w:cs="宋体"/>
                <w:color w:val="000000"/>
                <w:kern w:val="0"/>
                <w:sz w:val="24"/>
              </w:rPr>
            </w:pPr>
            <w:r>
              <w:rPr>
                <w:rFonts w:hint="eastAsia" w:ascii="宋体" w:hAnsi="宋体" w:eastAsia="宋体" w:cs="宋体"/>
                <w:color w:val="000000"/>
                <w:kern w:val="0"/>
                <w:sz w:val="24"/>
              </w:rPr>
              <w:t>按发债企业统计，当年度参评机构参与承销在银行间市场与沪深交易所发债的非金融企业家数按从高到低顺序排名。第一名得</w:t>
            </w:r>
            <w:r>
              <w:rPr>
                <w:rFonts w:ascii="宋体" w:hAnsi="宋体" w:eastAsia="宋体" w:cs="宋体"/>
                <w:color w:val="000000"/>
                <w:kern w:val="0"/>
                <w:sz w:val="24"/>
              </w:rPr>
              <w:t>20</w:t>
            </w:r>
            <w:r>
              <w:rPr>
                <w:rFonts w:hint="eastAsia" w:ascii="宋体" w:hAnsi="宋体" w:eastAsia="宋体" w:cs="宋体"/>
                <w:color w:val="000000"/>
                <w:kern w:val="0"/>
                <w:sz w:val="24"/>
              </w:rPr>
              <w:t>分，第二名得</w:t>
            </w:r>
            <w:r>
              <w:rPr>
                <w:rFonts w:ascii="宋体" w:hAnsi="宋体" w:eastAsia="宋体" w:cs="宋体"/>
                <w:color w:val="000000"/>
                <w:kern w:val="0"/>
                <w:sz w:val="24"/>
              </w:rPr>
              <w:t>19</w:t>
            </w:r>
            <w:r>
              <w:rPr>
                <w:rFonts w:hint="eastAsia" w:ascii="宋体" w:hAnsi="宋体" w:eastAsia="宋体" w:cs="宋体"/>
                <w:color w:val="000000"/>
                <w:kern w:val="0"/>
                <w:sz w:val="24"/>
              </w:rPr>
              <w:t>分，每降一名减</w:t>
            </w:r>
            <w:r>
              <w:rPr>
                <w:rFonts w:ascii="宋体" w:hAnsi="宋体" w:eastAsia="宋体" w:cs="宋体"/>
                <w:color w:val="000000"/>
                <w:kern w:val="0"/>
                <w:sz w:val="24"/>
              </w:rPr>
              <w:t>1</w:t>
            </w:r>
            <w:r>
              <w:rPr>
                <w:rFonts w:hint="eastAsia" w:ascii="宋体" w:hAnsi="宋体" w:eastAsia="宋体" w:cs="宋体"/>
                <w:color w:val="000000"/>
                <w:kern w:val="0"/>
                <w:sz w:val="24"/>
              </w:rPr>
              <w:t>分，以此类推，第二十名之后不得分。</w:t>
            </w:r>
          </w:p>
        </w:tc>
        <w:tc>
          <w:tcPr>
            <w:tcW w:w="2519"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各机构自主申报、相关主管部门核实、</w:t>
            </w:r>
            <w:r>
              <w:rPr>
                <w:rFonts w:ascii="宋体" w:hAnsi="宋体" w:eastAsia="宋体" w:cs="宋体"/>
                <w:color w:val="000000"/>
                <w:kern w:val="0"/>
                <w:sz w:val="24"/>
              </w:rPr>
              <w:t>WIND</w:t>
            </w:r>
            <w:r>
              <w:rPr>
                <w:rFonts w:hint="eastAsia" w:ascii="宋体" w:hAnsi="宋体" w:eastAsia="宋体" w:cs="宋体"/>
                <w:color w:val="000000"/>
                <w:kern w:val="0"/>
                <w:sz w:val="24"/>
              </w:rPr>
              <w:t>。</w:t>
            </w:r>
          </w:p>
        </w:tc>
        <w:tc>
          <w:tcPr>
            <w:tcW w:w="74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r>
              <w:rPr>
                <w:rFonts w:ascii="宋体" w:hAnsi="宋体" w:eastAsia="宋体" w:cs="宋体"/>
                <w:color w:val="000000"/>
                <w:kern w:val="0"/>
                <w:sz w:val="24"/>
              </w:rPr>
              <w:t>2</w:t>
            </w:r>
            <w:r>
              <w:rPr>
                <w:rFonts w:ascii="宋体" w:hAnsi="Calibri" w:eastAsia="宋体" w:cs="宋体"/>
                <w:color w:val="000000"/>
                <w:kern w:val="0"/>
                <w:sz w:val="24"/>
              </w:rPr>
              <w:t>0</w:t>
            </w:r>
            <w:r>
              <w:rPr>
                <w:rFonts w:ascii="宋体" w:hAnsi="宋体" w:eastAsia="宋体" w:cs="宋体"/>
                <w:color w:val="000000"/>
                <w:kern w:val="0"/>
                <w:sz w:val="24"/>
              </w:rPr>
              <w:t>%</w:t>
            </w:r>
          </w:p>
        </w:tc>
      </w:tr>
      <w:tr>
        <w:tblPrEx>
          <w:tblLayout w:type="fixed"/>
          <w:tblCellMar>
            <w:top w:w="0" w:type="dxa"/>
            <w:left w:w="108" w:type="dxa"/>
            <w:bottom w:w="0" w:type="dxa"/>
            <w:right w:w="108" w:type="dxa"/>
          </w:tblCellMar>
        </w:tblPrEx>
        <w:trPr>
          <w:trHeight w:val="23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410" w:lineRule="exact"/>
              <w:jc w:val="center"/>
              <w:rPr>
                <w:rFonts w:ascii="宋体" w:hAnsi="Calibri" w:eastAsia="宋体" w:cs="宋体"/>
                <w:color w:val="000000"/>
                <w:kern w:val="0"/>
                <w:sz w:val="24"/>
              </w:rPr>
            </w:pPr>
            <w:r>
              <w:rPr>
                <w:rFonts w:ascii="宋体" w:hAnsi="宋体" w:eastAsia="宋体" w:cs="宋体"/>
                <w:color w:val="000000"/>
                <w:kern w:val="0"/>
                <w:sz w:val="24"/>
              </w:rPr>
              <w:t>3</w:t>
            </w:r>
          </w:p>
        </w:tc>
        <w:tc>
          <w:tcPr>
            <w:tcW w:w="1762"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sz w:val="24"/>
              </w:rPr>
            </w:pPr>
            <w:r>
              <w:rPr>
                <w:rFonts w:hint="eastAsia" w:ascii="宋体" w:hAnsi="宋体" w:eastAsia="宋体" w:cs="宋体"/>
                <w:color w:val="000000"/>
                <w:sz w:val="24"/>
              </w:rPr>
              <w:t>当年新增承销非金融民营企业债券金额</w:t>
            </w:r>
          </w:p>
        </w:tc>
        <w:tc>
          <w:tcPr>
            <w:tcW w:w="3719"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当年度参评机构参与承销我省非金融</w:t>
            </w:r>
            <w:r>
              <w:rPr>
                <w:rFonts w:hint="eastAsia" w:ascii="宋体" w:hAnsi="宋体" w:eastAsia="宋体" w:cs="宋体"/>
                <w:color w:val="000000"/>
                <w:sz w:val="24"/>
              </w:rPr>
              <w:t>民营</w:t>
            </w:r>
            <w:r>
              <w:rPr>
                <w:rFonts w:hint="eastAsia" w:ascii="宋体" w:hAnsi="宋体" w:eastAsia="宋体" w:cs="宋体"/>
                <w:color w:val="000000"/>
                <w:kern w:val="0"/>
                <w:sz w:val="24"/>
              </w:rPr>
              <w:t>企业在银行间市场与沪深交易所发行债券金额按从高到低顺序排名。第一名得</w:t>
            </w:r>
            <w:r>
              <w:rPr>
                <w:rFonts w:ascii="宋体" w:hAnsi="宋体" w:eastAsia="宋体" w:cs="宋体"/>
                <w:color w:val="000000"/>
                <w:kern w:val="0"/>
                <w:sz w:val="24"/>
              </w:rPr>
              <w:t>10</w:t>
            </w:r>
            <w:r>
              <w:rPr>
                <w:rFonts w:hint="eastAsia" w:ascii="宋体" w:hAnsi="宋体" w:eastAsia="宋体" w:cs="宋体"/>
                <w:color w:val="000000"/>
                <w:kern w:val="0"/>
                <w:sz w:val="24"/>
              </w:rPr>
              <w:t>分，第二名得</w:t>
            </w:r>
            <w:r>
              <w:rPr>
                <w:rFonts w:ascii="宋体" w:hAnsi="宋体" w:eastAsia="宋体" w:cs="宋体"/>
                <w:color w:val="000000"/>
                <w:kern w:val="0"/>
                <w:sz w:val="24"/>
              </w:rPr>
              <w:t>9</w:t>
            </w:r>
            <w:r>
              <w:rPr>
                <w:rFonts w:hint="eastAsia" w:ascii="宋体" w:hAnsi="宋体" w:eastAsia="宋体" w:cs="宋体"/>
                <w:color w:val="000000"/>
                <w:kern w:val="0"/>
                <w:sz w:val="24"/>
              </w:rPr>
              <w:t>分，每降一名减</w:t>
            </w:r>
            <w:r>
              <w:rPr>
                <w:rFonts w:ascii="宋体" w:hAnsi="宋体" w:eastAsia="宋体" w:cs="宋体"/>
                <w:color w:val="000000"/>
                <w:kern w:val="0"/>
                <w:sz w:val="24"/>
              </w:rPr>
              <w:t>1</w:t>
            </w:r>
            <w:r>
              <w:rPr>
                <w:rFonts w:hint="eastAsia" w:ascii="宋体" w:hAnsi="宋体" w:eastAsia="宋体" w:cs="宋体"/>
                <w:color w:val="000000"/>
                <w:kern w:val="0"/>
                <w:sz w:val="24"/>
              </w:rPr>
              <w:t>分，以此类推，第十名之后不得分。</w:t>
            </w:r>
          </w:p>
        </w:tc>
        <w:tc>
          <w:tcPr>
            <w:tcW w:w="2519"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各机构自主申报、相关主管部门核实、</w:t>
            </w:r>
            <w:r>
              <w:rPr>
                <w:rFonts w:ascii="宋体" w:hAnsi="宋体" w:eastAsia="宋体" w:cs="宋体"/>
                <w:color w:val="000000"/>
                <w:kern w:val="0"/>
                <w:sz w:val="24"/>
              </w:rPr>
              <w:t>WIND</w:t>
            </w:r>
            <w:r>
              <w:rPr>
                <w:rFonts w:hint="eastAsia" w:ascii="宋体" w:hAnsi="宋体" w:eastAsia="宋体" w:cs="宋体"/>
                <w:color w:val="000000"/>
                <w:kern w:val="0"/>
                <w:sz w:val="24"/>
              </w:rPr>
              <w:t>。</w:t>
            </w:r>
          </w:p>
        </w:tc>
        <w:tc>
          <w:tcPr>
            <w:tcW w:w="74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r>
              <w:rPr>
                <w:rFonts w:ascii="宋体" w:hAnsi="宋体" w:eastAsia="宋体" w:cs="宋体"/>
                <w:color w:val="000000"/>
                <w:kern w:val="0"/>
                <w:sz w:val="24"/>
              </w:rPr>
              <w:t>10%</w:t>
            </w:r>
          </w:p>
        </w:tc>
      </w:tr>
      <w:tr>
        <w:tblPrEx>
          <w:tblLayout w:type="fixed"/>
          <w:tblCellMar>
            <w:top w:w="0" w:type="dxa"/>
            <w:left w:w="108" w:type="dxa"/>
            <w:bottom w:w="0" w:type="dxa"/>
            <w:right w:w="108" w:type="dxa"/>
          </w:tblCellMar>
        </w:tblPrEx>
        <w:trPr>
          <w:trHeight w:val="23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410" w:lineRule="exact"/>
              <w:jc w:val="center"/>
              <w:rPr>
                <w:rFonts w:ascii="宋体" w:hAnsi="Calibri" w:eastAsia="宋体" w:cs="宋体"/>
                <w:color w:val="000000"/>
                <w:kern w:val="0"/>
                <w:sz w:val="24"/>
              </w:rPr>
            </w:pPr>
            <w:r>
              <w:rPr>
                <w:rFonts w:ascii="宋体" w:hAnsi="宋体" w:eastAsia="宋体" w:cs="宋体"/>
                <w:color w:val="000000"/>
                <w:kern w:val="0"/>
                <w:sz w:val="24"/>
              </w:rPr>
              <w:t>4</w:t>
            </w:r>
          </w:p>
        </w:tc>
        <w:tc>
          <w:tcPr>
            <w:tcW w:w="1762"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sz w:val="24"/>
              </w:rPr>
            </w:pPr>
            <w:r>
              <w:rPr>
                <w:rFonts w:hint="eastAsia" w:ascii="宋体" w:hAnsi="宋体" w:eastAsia="宋体" w:cs="宋体"/>
                <w:color w:val="000000"/>
                <w:sz w:val="24"/>
              </w:rPr>
              <w:t>当年服务发债非金融民营企业家数</w:t>
            </w:r>
          </w:p>
        </w:tc>
        <w:tc>
          <w:tcPr>
            <w:tcW w:w="3719"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按发债企业统计，当年度参评机构参与承销我省非金融民营企业在银行间市场与沪深交易所发行债券的企业家数按从高到低顺序排名。第一名得</w:t>
            </w:r>
            <w:r>
              <w:rPr>
                <w:rFonts w:ascii="宋体" w:hAnsi="宋体" w:eastAsia="宋体" w:cs="宋体"/>
                <w:color w:val="000000"/>
                <w:kern w:val="0"/>
                <w:sz w:val="24"/>
              </w:rPr>
              <w:t>10</w:t>
            </w:r>
            <w:r>
              <w:rPr>
                <w:rFonts w:hint="eastAsia" w:ascii="宋体" w:hAnsi="宋体" w:eastAsia="宋体" w:cs="宋体"/>
                <w:color w:val="000000"/>
                <w:kern w:val="0"/>
                <w:sz w:val="24"/>
              </w:rPr>
              <w:t>分，第二名得</w:t>
            </w:r>
            <w:r>
              <w:rPr>
                <w:rFonts w:ascii="宋体" w:hAnsi="宋体" w:eastAsia="宋体" w:cs="宋体"/>
                <w:color w:val="000000"/>
                <w:kern w:val="0"/>
                <w:sz w:val="24"/>
              </w:rPr>
              <w:t>9</w:t>
            </w:r>
            <w:r>
              <w:rPr>
                <w:rFonts w:hint="eastAsia" w:ascii="宋体" w:hAnsi="宋体" w:eastAsia="宋体" w:cs="宋体"/>
                <w:color w:val="000000"/>
                <w:kern w:val="0"/>
                <w:sz w:val="24"/>
              </w:rPr>
              <w:t>分，每降一名减</w:t>
            </w:r>
            <w:r>
              <w:rPr>
                <w:rFonts w:ascii="宋体" w:hAnsi="宋体" w:eastAsia="宋体" w:cs="宋体"/>
                <w:color w:val="000000"/>
                <w:kern w:val="0"/>
                <w:sz w:val="24"/>
              </w:rPr>
              <w:t>1</w:t>
            </w:r>
            <w:r>
              <w:rPr>
                <w:rFonts w:hint="eastAsia" w:ascii="宋体" w:hAnsi="宋体" w:eastAsia="宋体" w:cs="宋体"/>
                <w:color w:val="000000"/>
                <w:kern w:val="0"/>
                <w:sz w:val="24"/>
              </w:rPr>
              <w:t>分，以此类推，第十名之后不得分。</w:t>
            </w:r>
          </w:p>
        </w:tc>
        <w:tc>
          <w:tcPr>
            <w:tcW w:w="2519"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各机构自主申报、相关主管部门核实、</w:t>
            </w:r>
            <w:r>
              <w:rPr>
                <w:rFonts w:ascii="宋体" w:hAnsi="宋体" w:eastAsia="宋体" w:cs="宋体"/>
                <w:color w:val="000000"/>
                <w:kern w:val="0"/>
                <w:sz w:val="24"/>
              </w:rPr>
              <w:t>WIND</w:t>
            </w:r>
            <w:r>
              <w:rPr>
                <w:rFonts w:hint="eastAsia" w:ascii="宋体" w:hAnsi="宋体" w:eastAsia="宋体" w:cs="宋体"/>
                <w:color w:val="000000"/>
                <w:kern w:val="0"/>
                <w:sz w:val="24"/>
              </w:rPr>
              <w:t>。</w:t>
            </w:r>
          </w:p>
        </w:tc>
        <w:tc>
          <w:tcPr>
            <w:tcW w:w="74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r>
              <w:rPr>
                <w:rFonts w:ascii="宋体" w:hAnsi="宋体" w:eastAsia="宋体" w:cs="宋体"/>
                <w:color w:val="000000"/>
                <w:kern w:val="0"/>
                <w:sz w:val="24"/>
              </w:rPr>
              <w:t>10%</w:t>
            </w:r>
          </w:p>
        </w:tc>
      </w:tr>
      <w:tr>
        <w:tblPrEx>
          <w:tblLayout w:type="fixed"/>
          <w:tblCellMar>
            <w:top w:w="0" w:type="dxa"/>
            <w:left w:w="108" w:type="dxa"/>
            <w:bottom w:w="0" w:type="dxa"/>
            <w:right w:w="108" w:type="dxa"/>
          </w:tblCellMar>
        </w:tblPrEx>
        <w:trPr>
          <w:trHeight w:val="23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410" w:lineRule="exact"/>
              <w:jc w:val="center"/>
              <w:rPr>
                <w:rFonts w:ascii="宋体" w:hAnsi="Calibri" w:eastAsia="宋体" w:cs="宋体"/>
                <w:color w:val="000000"/>
                <w:kern w:val="0"/>
                <w:sz w:val="24"/>
              </w:rPr>
            </w:pPr>
            <w:r>
              <w:rPr>
                <w:rFonts w:ascii="宋体" w:hAnsi="宋体" w:eastAsia="宋体" w:cs="宋体"/>
                <w:color w:val="000000"/>
                <w:kern w:val="0"/>
                <w:sz w:val="24"/>
              </w:rPr>
              <w:t>5</w:t>
            </w:r>
          </w:p>
        </w:tc>
        <w:tc>
          <w:tcPr>
            <w:tcW w:w="1762"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sz w:val="24"/>
              </w:rPr>
              <w:t>服务的发债企业是否出现债券违约风险</w:t>
            </w:r>
          </w:p>
        </w:tc>
        <w:tc>
          <w:tcPr>
            <w:tcW w:w="3719"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基本分（</w:t>
            </w:r>
            <w:r>
              <w:rPr>
                <w:rFonts w:ascii="宋体" w:hAnsi="宋体" w:eastAsia="宋体" w:cs="宋体"/>
                <w:color w:val="000000"/>
                <w:kern w:val="0"/>
                <w:sz w:val="24"/>
              </w:rPr>
              <w:t>20</w:t>
            </w:r>
            <w:r>
              <w:rPr>
                <w:rFonts w:hint="eastAsia" w:ascii="宋体" w:hAnsi="宋体" w:eastAsia="宋体" w:cs="宋体"/>
                <w:color w:val="000000"/>
                <w:kern w:val="0"/>
                <w:sz w:val="24"/>
              </w:rPr>
              <w:t>分）：若参评机构承销的债券当年度没有出现违约风险，得基本分</w:t>
            </w:r>
            <w:r>
              <w:rPr>
                <w:rFonts w:ascii="宋体" w:hAnsi="宋体" w:eastAsia="宋体" w:cs="宋体"/>
                <w:color w:val="000000"/>
                <w:kern w:val="0"/>
                <w:sz w:val="24"/>
              </w:rPr>
              <w:t>20</w:t>
            </w:r>
            <w:r>
              <w:rPr>
                <w:rFonts w:hint="eastAsia" w:ascii="宋体" w:hAnsi="宋体" w:eastAsia="宋体" w:cs="宋体"/>
                <w:color w:val="000000"/>
                <w:kern w:val="0"/>
                <w:sz w:val="24"/>
              </w:rPr>
              <w:t>分。</w:t>
            </w:r>
          </w:p>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若出现违约风险，则按以下情况评价：</w:t>
            </w:r>
            <w:r>
              <w:rPr>
                <w:rFonts w:ascii="宋体" w:hAnsi="宋体" w:eastAsia="宋体" w:cs="宋体"/>
                <w:color w:val="000000"/>
                <w:kern w:val="0"/>
                <w:sz w:val="24"/>
              </w:rPr>
              <w:t>1</w:t>
            </w:r>
            <w:r>
              <w:rPr>
                <w:rFonts w:ascii="宋体" w:hAnsi="Calibri" w:eastAsia="宋体" w:cs="宋体"/>
                <w:color w:val="000000"/>
                <w:kern w:val="0"/>
                <w:sz w:val="24"/>
              </w:rPr>
              <w:t>.</w:t>
            </w:r>
            <w:r>
              <w:rPr>
                <w:rFonts w:hint="eastAsia" w:ascii="宋体" w:hAnsi="宋体" w:eastAsia="宋体" w:cs="宋体"/>
                <w:color w:val="000000"/>
                <w:kern w:val="0"/>
                <w:sz w:val="24"/>
              </w:rPr>
              <w:t>若参评机构积极配合有关部门做好风险处置工作，得</w:t>
            </w:r>
            <w:r>
              <w:rPr>
                <w:rFonts w:ascii="宋体" w:hAnsi="宋体" w:eastAsia="宋体" w:cs="宋体"/>
                <w:color w:val="000000"/>
                <w:kern w:val="0"/>
                <w:sz w:val="24"/>
              </w:rPr>
              <w:t>10</w:t>
            </w:r>
            <w:r>
              <w:rPr>
                <w:rFonts w:hint="eastAsia" w:ascii="宋体" w:hAnsi="宋体" w:eastAsia="宋体" w:cs="宋体"/>
                <w:color w:val="000000"/>
                <w:kern w:val="0"/>
                <w:sz w:val="24"/>
              </w:rPr>
              <w:t>分；</w:t>
            </w:r>
            <w:r>
              <w:rPr>
                <w:rFonts w:ascii="宋体" w:hAnsi="宋体" w:eastAsia="宋体" w:cs="宋体"/>
                <w:color w:val="000000"/>
                <w:kern w:val="0"/>
                <w:sz w:val="24"/>
              </w:rPr>
              <w:t>2</w:t>
            </w:r>
            <w:r>
              <w:rPr>
                <w:rFonts w:ascii="宋体" w:hAnsi="Calibri" w:eastAsia="宋体" w:cs="宋体"/>
                <w:color w:val="000000"/>
                <w:kern w:val="0"/>
                <w:sz w:val="24"/>
              </w:rPr>
              <w:t>.</w:t>
            </w:r>
            <w:r>
              <w:rPr>
                <w:rFonts w:hint="eastAsia" w:ascii="宋体" w:hAnsi="宋体" w:eastAsia="宋体" w:cs="宋体"/>
                <w:color w:val="000000"/>
                <w:kern w:val="0"/>
                <w:sz w:val="24"/>
              </w:rPr>
              <w:t>若参评机构未积极配合有关部门做好风险处置工作，或参评机构被监管部门采取立案调查、行政处罚等措施，取消当年参评资格。</w:t>
            </w:r>
          </w:p>
        </w:tc>
        <w:tc>
          <w:tcPr>
            <w:tcW w:w="2519" w:type="dxa"/>
            <w:tcBorders>
              <w:top w:val="single" w:color="auto" w:sz="4" w:space="0"/>
              <w:left w:val="nil"/>
              <w:bottom w:val="single" w:color="auto" w:sz="4" w:space="0"/>
              <w:right w:val="single" w:color="auto" w:sz="4" w:space="0"/>
            </w:tcBorders>
            <w:vAlign w:val="center"/>
          </w:tcPr>
          <w:p>
            <w:pPr>
              <w:widowControl/>
              <w:spacing w:line="410" w:lineRule="exact"/>
              <w:jc w:val="left"/>
              <w:rPr>
                <w:rFonts w:ascii="宋体" w:hAnsi="Calibri" w:eastAsia="宋体" w:cs="宋体"/>
                <w:color w:val="000000"/>
                <w:kern w:val="0"/>
                <w:sz w:val="24"/>
              </w:rPr>
            </w:pPr>
            <w:r>
              <w:rPr>
                <w:rFonts w:hint="eastAsia" w:ascii="宋体" w:hAnsi="宋体" w:eastAsia="宋体" w:cs="宋体"/>
                <w:color w:val="000000"/>
                <w:kern w:val="0"/>
                <w:sz w:val="24"/>
              </w:rPr>
              <w:t>相关主管部门</w:t>
            </w:r>
          </w:p>
        </w:tc>
        <w:tc>
          <w:tcPr>
            <w:tcW w:w="74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r>
              <w:rPr>
                <w:rFonts w:ascii="宋体" w:hAnsi="宋体" w:eastAsia="宋体" w:cs="宋体"/>
                <w:color w:val="000000"/>
                <w:kern w:val="0"/>
                <w:sz w:val="24"/>
              </w:rPr>
              <w:t>20%</w:t>
            </w:r>
          </w:p>
        </w:tc>
      </w:tr>
      <w:tr>
        <w:tblPrEx>
          <w:tblLayout w:type="fixed"/>
          <w:tblCellMar>
            <w:top w:w="0" w:type="dxa"/>
            <w:left w:w="108" w:type="dxa"/>
            <w:bottom w:w="0" w:type="dxa"/>
            <w:right w:w="108" w:type="dxa"/>
          </w:tblCellMar>
        </w:tblPrEx>
        <w:trPr>
          <w:trHeight w:val="23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r>
              <w:rPr>
                <w:rFonts w:ascii="宋体" w:hAnsi="宋体" w:eastAsia="宋体" w:cs="宋体"/>
                <w:color w:val="000000"/>
                <w:kern w:val="0"/>
                <w:sz w:val="24"/>
              </w:rPr>
              <w:t>6</w:t>
            </w:r>
          </w:p>
        </w:tc>
        <w:tc>
          <w:tcPr>
            <w:tcW w:w="176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Calibri" w:eastAsia="宋体" w:cs="宋体"/>
                <w:color w:val="000000"/>
                <w:kern w:val="0"/>
                <w:sz w:val="24"/>
              </w:rPr>
            </w:pPr>
            <w:r>
              <w:rPr>
                <w:rFonts w:hint="eastAsia" w:ascii="宋体" w:hAnsi="宋体" w:eastAsia="宋体" w:cs="宋体"/>
                <w:color w:val="000000"/>
                <w:sz w:val="24"/>
              </w:rPr>
              <w:t>承销</w:t>
            </w:r>
            <w:r>
              <w:rPr>
                <w:rFonts w:hint="eastAsia" w:ascii="宋体" w:hAnsi="宋体" w:eastAsia="宋体" w:cs="宋体"/>
                <w:color w:val="000000"/>
                <w:kern w:val="0"/>
                <w:sz w:val="24"/>
              </w:rPr>
              <w:t>创新创业债、绿色债、小微企业增信集合债、REITs等情况</w:t>
            </w:r>
          </w:p>
        </w:tc>
        <w:tc>
          <w:tcPr>
            <w:tcW w:w="3719"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Calibri" w:eastAsia="宋体" w:cs="宋体"/>
                <w:color w:val="000000"/>
                <w:kern w:val="0"/>
                <w:sz w:val="24"/>
              </w:rPr>
            </w:pPr>
            <w:r>
              <w:rPr>
                <w:rFonts w:hint="eastAsia" w:ascii="宋体" w:hAnsi="宋体" w:eastAsia="宋体" w:cs="宋体"/>
                <w:color w:val="000000"/>
                <w:kern w:val="0"/>
                <w:sz w:val="24"/>
              </w:rPr>
              <w:t>附加分（</w:t>
            </w:r>
            <w:r>
              <w:rPr>
                <w:rFonts w:ascii="宋体" w:hAnsi="宋体" w:eastAsia="宋体" w:cs="宋体"/>
                <w:color w:val="000000"/>
                <w:kern w:val="0"/>
                <w:sz w:val="24"/>
              </w:rPr>
              <w:t>6</w:t>
            </w:r>
            <w:r>
              <w:rPr>
                <w:rFonts w:hint="eastAsia" w:ascii="宋体" w:hAnsi="宋体" w:eastAsia="宋体" w:cs="宋体"/>
                <w:color w:val="000000"/>
                <w:kern w:val="0"/>
                <w:sz w:val="24"/>
              </w:rPr>
              <w:t>分）：当年度参评机构参与承销我省非金融企业发行创新创业债、绿色债、小微企业增信集合债、REITs等品种，每承销</w:t>
            </w:r>
            <w:r>
              <w:rPr>
                <w:rFonts w:ascii="宋体" w:hAnsi="宋体" w:eastAsia="宋体" w:cs="宋体"/>
                <w:color w:val="000000"/>
                <w:kern w:val="0"/>
                <w:sz w:val="24"/>
              </w:rPr>
              <w:t>1</w:t>
            </w:r>
            <w:r>
              <w:rPr>
                <w:rFonts w:hint="eastAsia" w:ascii="宋体" w:hAnsi="宋体" w:eastAsia="宋体" w:cs="宋体"/>
                <w:color w:val="000000"/>
                <w:kern w:val="0"/>
                <w:sz w:val="24"/>
              </w:rPr>
              <w:t>种，加</w:t>
            </w:r>
            <w:r>
              <w:rPr>
                <w:rFonts w:ascii="宋体" w:hAnsi="宋体" w:eastAsia="宋体" w:cs="宋体"/>
                <w:color w:val="000000"/>
                <w:kern w:val="0"/>
                <w:sz w:val="24"/>
              </w:rPr>
              <w:t>2</w:t>
            </w:r>
            <w:r>
              <w:rPr>
                <w:rFonts w:hint="eastAsia" w:ascii="宋体" w:hAnsi="宋体" w:eastAsia="宋体" w:cs="宋体"/>
                <w:color w:val="000000"/>
                <w:kern w:val="0"/>
                <w:sz w:val="24"/>
              </w:rPr>
              <w:t>分。本指标上限</w:t>
            </w:r>
            <w:r>
              <w:rPr>
                <w:rFonts w:ascii="宋体" w:hAnsi="宋体" w:eastAsia="宋体" w:cs="宋体"/>
                <w:color w:val="000000"/>
                <w:kern w:val="0"/>
                <w:sz w:val="24"/>
              </w:rPr>
              <w:t>6</w:t>
            </w:r>
            <w:r>
              <w:rPr>
                <w:rFonts w:hint="eastAsia" w:ascii="宋体" w:hAnsi="宋体" w:eastAsia="宋体" w:cs="宋体"/>
                <w:color w:val="000000"/>
                <w:kern w:val="0"/>
                <w:sz w:val="24"/>
              </w:rPr>
              <w:t>分，若无不得分。</w:t>
            </w:r>
          </w:p>
        </w:tc>
        <w:tc>
          <w:tcPr>
            <w:tcW w:w="2519"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Calibri" w:eastAsia="宋体" w:cs="宋体"/>
                <w:color w:val="000000"/>
                <w:kern w:val="0"/>
                <w:sz w:val="24"/>
              </w:rPr>
            </w:pPr>
            <w:r>
              <w:rPr>
                <w:rFonts w:hint="eastAsia" w:ascii="宋体" w:hAnsi="宋体" w:eastAsia="宋体" w:cs="宋体"/>
                <w:color w:val="000000"/>
                <w:kern w:val="0"/>
                <w:sz w:val="24"/>
              </w:rPr>
              <w:t>各机构自主申报、相关主管部门核实、</w:t>
            </w:r>
            <w:r>
              <w:rPr>
                <w:rFonts w:ascii="宋体" w:hAnsi="宋体" w:eastAsia="宋体" w:cs="宋体"/>
                <w:color w:val="000000"/>
                <w:kern w:val="0"/>
                <w:sz w:val="24"/>
              </w:rPr>
              <w:t>WIND</w:t>
            </w:r>
            <w:r>
              <w:rPr>
                <w:rFonts w:hint="eastAsia" w:ascii="宋体" w:hAnsi="宋体" w:eastAsia="宋体" w:cs="宋体"/>
                <w:color w:val="000000"/>
                <w:kern w:val="0"/>
                <w:sz w:val="24"/>
              </w:rPr>
              <w:t>。</w:t>
            </w:r>
          </w:p>
        </w:tc>
        <w:tc>
          <w:tcPr>
            <w:tcW w:w="74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Calibri" w:eastAsia="宋体" w:cs="宋体"/>
                <w:color w:val="000000"/>
                <w:kern w:val="0"/>
                <w:sz w:val="24"/>
              </w:rPr>
            </w:pPr>
            <w:r>
              <w:rPr>
                <w:rFonts w:hint="eastAsia" w:ascii="宋体" w:hAnsi="宋体" w:eastAsia="宋体" w:cs="宋体"/>
                <w:color w:val="000000"/>
                <w:kern w:val="0"/>
                <w:sz w:val="24"/>
              </w:rPr>
              <w:t>附加分</w:t>
            </w:r>
          </w:p>
        </w:tc>
      </w:tr>
      <w:tr>
        <w:tblPrEx>
          <w:tblLayout w:type="fixed"/>
          <w:tblCellMar>
            <w:top w:w="0" w:type="dxa"/>
            <w:left w:w="108" w:type="dxa"/>
            <w:bottom w:w="0" w:type="dxa"/>
            <w:right w:w="108" w:type="dxa"/>
          </w:tblCellMar>
        </w:tblPrEx>
        <w:trPr>
          <w:trHeight w:val="23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7</w:t>
            </w:r>
          </w:p>
        </w:tc>
        <w:tc>
          <w:tcPr>
            <w:tcW w:w="1762"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rPr>
            </w:pPr>
            <w:r>
              <w:rPr>
                <w:rFonts w:hint="eastAsia" w:ascii="宋体" w:hAnsi="宋体" w:eastAsia="宋体" w:cs="宋体"/>
                <w:kern w:val="0"/>
                <w:sz w:val="24"/>
              </w:rPr>
              <w:t>业务主管部门意见</w:t>
            </w:r>
          </w:p>
        </w:tc>
        <w:tc>
          <w:tcPr>
            <w:tcW w:w="3719"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rPr>
            </w:pPr>
            <w:r>
              <w:rPr>
                <w:rFonts w:hint="eastAsia" w:ascii="宋体" w:hAnsi="宋体" w:eastAsia="宋体" w:cs="宋体"/>
                <w:kern w:val="0"/>
                <w:sz w:val="24"/>
              </w:rPr>
              <w:t>省发改委、人行福州中心支行、福建证监局可根据业务主管情况对参评机构出具是否取消其参评资格的书面意见，若对其参评出具否定意见，经评价小组审议同意，则取消其当年参评资格。</w:t>
            </w:r>
          </w:p>
        </w:tc>
        <w:tc>
          <w:tcPr>
            <w:tcW w:w="2519"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rPr>
            </w:pPr>
            <w:r>
              <w:rPr>
                <w:rFonts w:hint="eastAsia" w:ascii="宋体" w:hAnsi="宋体" w:eastAsia="宋体" w:cs="宋体"/>
                <w:kern w:val="0"/>
                <w:sz w:val="24"/>
              </w:rPr>
              <w:t>省发改委、人行福州中心支行、福建证监局提出否定意见须有充分的事实和理由供评价小组审议，按照少数服从多数原则表决决定是否取消其参评资格。</w:t>
            </w:r>
          </w:p>
        </w:tc>
        <w:tc>
          <w:tcPr>
            <w:tcW w:w="74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0" w:leftChars="100" w:right="310" w:rightChars="100"/>
      <w:jc w:val="center"/>
      <w:rPr>
        <w:rStyle w:val="4"/>
      </w:rPr>
    </w:pPr>
    <w:r>
      <w:rPr>
        <w:rStyle w:val="4"/>
        <w:rFonts w:hint="eastAsia" w:ascii="宋体" w:hAnsi="宋体" w:eastAsia="宋体"/>
        <w:sz w:val="28"/>
      </w:rPr>
      <w:t>—</w:t>
    </w:r>
    <w:r>
      <w:rPr>
        <w:rStyle w:val="4"/>
        <w:rFonts w:ascii="宋体" w:hAnsi="宋体" w:eastAsia="宋体"/>
        <w:sz w:val="28"/>
      </w:rPr>
      <w:t xml:space="preserve"> </w:t>
    </w:r>
    <w:r>
      <w:rPr>
        <w:rFonts w:ascii="宋体" w:hAnsi="宋体" w:eastAsia="宋体"/>
        <w:sz w:val="28"/>
      </w:rPr>
      <w:fldChar w:fldCharType="begin"/>
    </w:r>
    <w:r>
      <w:rPr>
        <w:rStyle w:val="4"/>
        <w:rFonts w:ascii="宋体" w:hAnsi="宋体" w:eastAsia="宋体"/>
        <w:sz w:val="28"/>
      </w:rPr>
      <w:instrText xml:space="preserve">PAGE  </w:instrText>
    </w:r>
    <w:r>
      <w:rPr>
        <w:rFonts w:ascii="宋体" w:hAnsi="宋体" w:eastAsia="宋体"/>
        <w:sz w:val="28"/>
      </w:rPr>
      <w:fldChar w:fldCharType="separate"/>
    </w:r>
    <w:r>
      <w:rPr>
        <w:rStyle w:val="4"/>
        <w:rFonts w:ascii="宋体" w:hAnsi="宋体" w:eastAsia="宋体"/>
        <w:sz w:val="28"/>
      </w:rPr>
      <w:t>11</w:t>
    </w:r>
    <w:r>
      <w:rPr>
        <w:rFonts w:ascii="宋体" w:hAnsi="宋体" w:eastAsia="宋体"/>
        <w:sz w:val="28"/>
      </w:rPr>
      <w:fldChar w:fldCharType="end"/>
    </w:r>
    <w:r>
      <w:rPr>
        <w:rStyle w:val="4"/>
        <w:rFonts w:ascii="宋体" w:hAnsi="宋体" w:eastAsia="宋体"/>
        <w:sz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B17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RSNET</dc:creator>
  <cp:lastModifiedBy>RSNET</cp:lastModifiedBy>
  <dcterms:modified xsi:type="dcterms:W3CDTF">2023-10-25T07:56:10Z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