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Calibri" w:eastAsia="方正小标宋简体"/>
          <w:b/>
          <w:sz w:val="44"/>
          <w:szCs w:val="44"/>
        </w:rPr>
      </w:pPr>
    </w:p>
    <w:p>
      <w:pPr>
        <w:spacing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福建省鼓励金融机构服务非金融企业</w:t>
      </w:r>
    </w:p>
    <w:p>
      <w:pPr>
        <w:spacing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股权融资评价评分规则</w:t>
      </w:r>
    </w:p>
    <w:p>
      <w:pPr>
        <w:spacing w:line="600" w:lineRule="exact"/>
        <w:jc w:val="center"/>
        <w:rPr>
          <w:rFonts w:ascii="方正小标宋简体" w:hAnsi="Calibri" w:eastAsia="方正小标宋简体"/>
          <w:sz w:val="44"/>
          <w:szCs w:val="44"/>
        </w:rPr>
      </w:pPr>
    </w:p>
    <w:p>
      <w:pPr>
        <w:spacing w:line="600" w:lineRule="exact"/>
        <w:ind w:firstLine="656" w:firstLineChars="200"/>
        <w:rPr>
          <w:rFonts w:ascii="黑体" w:hAnsi="黑体" w:eastAsia="黑体"/>
          <w:sz w:val="32"/>
          <w:szCs w:val="32"/>
        </w:rPr>
      </w:pPr>
      <w:r>
        <w:rPr>
          <w:rFonts w:hint="eastAsia" w:ascii="黑体" w:hAnsi="黑体" w:eastAsia="黑体"/>
          <w:sz w:val="32"/>
          <w:szCs w:val="32"/>
        </w:rPr>
        <w:t>一、评价对象</w:t>
      </w:r>
    </w:p>
    <w:p>
      <w:pPr>
        <w:spacing w:line="600" w:lineRule="exact"/>
        <w:ind w:firstLine="640"/>
        <w:rPr>
          <w:rFonts w:ascii="仿宋_GB2312" w:hAnsi="Calibri"/>
          <w:sz w:val="32"/>
          <w:szCs w:val="32"/>
        </w:rPr>
      </w:pPr>
      <w:r>
        <w:rPr>
          <w:rFonts w:hint="eastAsia" w:ascii="仿宋_GB2312" w:hAnsi="Calibri"/>
          <w:sz w:val="32"/>
          <w:szCs w:val="32"/>
        </w:rPr>
        <w:t>自愿参与本评价的</w:t>
      </w:r>
      <w:r>
        <w:rPr>
          <w:rFonts w:hint="eastAsia" w:ascii="仿宋_GB2312" w:hAnsi="黑体"/>
          <w:sz w:val="32"/>
          <w:szCs w:val="32"/>
        </w:rPr>
        <w:t>在</w:t>
      </w:r>
      <w:r>
        <w:rPr>
          <w:rFonts w:hint="eastAsia" w:ascii="仿宋_GB2312" w:hAnsi="Calibri"/>
          <w:sz w:val="32"/>
          <w:szCs w:val="32"/>
        </w:rPr>
        <w:t>我省设立的证券公司和在我省开展业务的省外证券公司</w:t>
      </w:r>
    </w:p>
    <w:p>
      <w:pPr>
        <w:spacing w:line="600" w:lineRule="exact"/>
        <w:ind w:firstLine="640"/>
        <w:rPr>
          <w:rFonts w:ascii="黑体" w:hAnsi="黑体" w:eastAsia="黑体"/>
          <w:sz w:val="32"/>
          <w:szCs w:val="32"/>
        </w:rPr>
      </w:pPr>
      <w:r>
        <w:rPr>
          <w:rFonts w:hint="eastAsia" w:ascii="黑体" w:hAnsi="黑体" w:eastAsia="黑体"/>
          <w:sz w:val="32"/>
          <w:szCs w:val="32"/>
        </w:rPr>
        <w:t>二、评价内容</w:t>
      </w:r>
    </w:p>
    <w:p>
      <w:pPr>
        <w:spacing w:line="600" w:lineRule="exact"/>
        <w:ind w:firstLine="640"/>
        <w:rPr>
          <w:rFonts w:ascii="仿宋_GB2312" w:hAnsi="Calibri"/>
          <w:sz w:val="32"/>
          <w:szCs w:val="32"/>
        </w:rPr>
      </w:pPr>
      <w:r>
        <w:rPr>
          <w:rFonts w:hint="eastAsia" w:ascii="仿宋_GB2312" w:hAnsi="Calibri"/>
          <w:sz w:val="32"/>
          <w:szCs w:val="32"/>
        </w:rPr>
        <w:t>以参评证券公司服务企业股权融资相关指标作为评价内容，共设置6个评价指标，6个评价指标具体为：当年</w:t>
      </w:r>
      <w:r>
        <w:rPr>
          <w:rFonts w:ascii="仿宋_GB2312" w:hAnsi="Calibri"/>
          <w:sz w:val="32"/>
          <w:szCs w:val="32"/>
        </w:rPr>
        <w:t>新增</w:t>
      </w:r>
      <w:r>
        <w:rPr>
          <w:rFonts w:hint="eastAsia" w:ascii="仿宋_GB2312" w:hAnsi="Calibri"/>
          <w:sz w:val="32"/>
          <w:szCs w:val="32"/>
        </w:rPr>
        <w:t>境内</w:t>
      </w:r>
      <w:r>
        <w:rPr>
          <w:rFonts w:ascii="仿宋_GB2312" w:hAnsi="Calibri"/>
          <w:sz w:val="32"/>
          <w:szCs w:val="32"/>
        </w:rPr>
        <w:t>上市、过会或新三板精选层挂牌企业</w:t>
      </w:r>
      <w:r>
        <w:rPr>
          <w:rFonts w:hint="eastAsia" w:ascii="仿宋_GB2312" w:hAnsi="Calibri"/>
          <w:sz w:val="32"/>
          <w:szCs w:val="32"/>
        </w:rPr>
        <w:t>数量（35%）</w:t>
      </w:r>
      <w:r>
        <w:rPr>
          <w:rFonts w:ascii="仿宋_GB2312" w:hAnsi="Calibri"/>
          <w:sz w:val="32"/>
          <w:szCs w:val="32"/>
        </w:rPr>
        <w:t>，</w:t>
      </w:r>
      <w:r>
        <w:rPr>
          <w:rFonts w:hint="eastAsia" w:ascii="仿宋_GB2312" w:hAnsi="Calibri"/>
          <w:sz w:val="32"/>
          <w:szCs w:val="32"/>
        </w:rPr>
        <w:t>当年</w:t>
      </w:r>
      <w:r>
        <w:rPr>
          <w:rFonts w:ascii="仿宋_GB2312" w:hAnsi="Calibri"/>
          <w:sz w:val="32"/>
          <w:szCs w:val="32"/>
        </w:rPr>
        <w:t>新增在新三板基础层、创新层挂牌企业</w:t>
      </w:r>
      <w:r>
        <w:rPr>
          <w:rFonts w:hint="eastAsia" w:ascii="仿宋_GB2312" w:hAnsi="Calibri"/>
          <w:sz w:val="32"/>
          <w:szCs w:val="32"/>
        </w:rPr>
        <w:t>数量（15%）</w:t>
      </w:r>
      <w:r>
        <w:rPr>
          <w:rFonts w:ascii="仿宋_GB2312" w:hAnsi="Calibri"/>
          <w:sz w:val="32"/>
          <w:szCs w:val="32"/>
        </w:rPr>
        <w:t>，</w:t>
      </w:r>
      <w:r>
        <w:rPr>
          <w:rFonts w:hint="eastAsia" w:ascii="仿宋_GB2312" w:hAnsi="Calibri"/>
          <w:sz w:val="32"/>
          <w:szCs w:val="32"/>
        </w:rPr>
        <w:t>当年</w:t>
      </w:r>
      <w:r>
        <w:rPr>
          <w:rFonts w:ascii="仿宋_GB2312" w:hAnsi="Calibri"/>
          <w:sz w:val="32"/>
          <w:szCs w:val="32"/>
        </w:rPr>
        <w:t>新增在证监局辅导备案企业</w:t>
      </w:r>
      <w:r>
        <w:rPr>
          <w:rFonts w:hint="eastAsia" w:ascii="仿宋_GB2312" w:hAnsi="Calibri"/>
          <w:sz w:val="32"/>
          <w:szCs w:val="32"/>
        </w:rPr>
        <w:t>数量（10%）</w:t>
      </w:r>
      <w:r>
        <w:rPr>
          <w:rFonts w:ascii="仿宋_GB2312" w:hAnsi="Calibri"/>
          <w:sz w:val="32"/>
          <w:szCs w:val="32"/>
        </w:rPr>
        <w:t>，</w:t>
      </w:r>
      <w:r>
        <w:rPr>
          <w:rFonts w:hint="eastAsia" w:ascii="仿宋_GB2312" w:hAnsi="Calibri"/>
          <w:sz w:val="32"/>
          <w:szCs w:val="32"/>
        </w:rPr>
        <w:t>当年</w:t>
      </w:r>
      <w:r>
        <w:rPr>
          <w:rFonts w:ascii="仿宋_GB2312" w:hAnsi="Calibri"/>
          <w:sz w:val="32"/>
          <w:szCs w:val="32"/>
        </w:rPr>
        <w:t>新增企业上市首发融资、再融资</w:t>
      </w:r>
      <w:r>
        <w:rPr>
          <w:rFonts w:hint="eastAsia" w:ascii="仿宋_GB2312" w:hAnsi="Calibri"/>
          <w:sz w:val="32"/>
          <w:szCs w:val="32"/>
        </w:rPr>
        <w:t>以及新三板精选层挂牌企业融资金额（20%）</w:t>
      </w:r>
      <w:r>
        <w:rPr>
          <w:rFonts w:ascii="仿宋_GB2312" w:hAnsi="Calibri"/>
          <w:sz w:val="32"/>
          <w:szCs w:val="32"/>
        </w:rPr>
        <w:t>，参评机构保荐的上市公司是否出现欺诈发行、财务造假等重大风险</w:t>
      </w:r>
      <w:r>
        <w:rPr>
          <w:rFonts w:hint="eastAsia" w:ascii="仿宋_GB2312" w:hAnsi="Calibri"/>
          <w:sz w:val="32"/>
          <w:szCs w:val="32"/>
        </w:rPr>
        <w:t>（20%），业务主管部门意见。</w:t>
      </w:r>
    </w:p>
    <w:p>
      <w:pPr>
        <w:spacing w:line="600" w:lineRule="exact"/>
        <w:ind w:firstLine="640"/>
        <w:rPr>
          <w:rFonts w:ascii="黑体" w:hAnsi="黑体" w:eastAsia="黑体"/>
          <w:sz w:val="32"/>
          <w:szCs w:val="32"/>
        </w:rPr>
      </w:pPr>
      <w:r>
        <w:rPr>
          <w:rFonts w:hint="eastAsia" w:ascii="黑体" w:hAnsi="黑体" w:eastAsia="黑体"/>
          <w:sz w:val="32"/>
          <w:szCs w:val="32"/>
        </w:rPr>
        <w:t>三、评分规则</w:t>
      </w:r>
    </w:p>
    <w:p>
      <w:pPr>
        <w:spacing w:line="600" w:lineRule="exact"/>
        <w:ind w:firstLine="640"/>
        <w:rPr>
          <w:rFonts w:ascii="仿宋_GB2312" w:hAnsi="Calibri"/>
          <w:sz w:val="32"/>
          <w:szCs w:val="32"/>
        </w:rPr>
      </w:pPr>
      <w:r>
        <w:rPr>
          <w:rFonts w:ascii="仿宋_GB2312" w:hAnsi="Calibri"/>
          <w:sz w:val="32"/>
          <w:szCs w:val="32"/>
        </w:rPr>
        <w:t>采用百分制模式，每项指标得分=基本分（若有）+增量得分（若有），最终得分为所有指标得分的加总。每项指标的分值和考评标准如下表所示。</w:t>
      </w:r>
    </w:p>
    <w:p>
      <w:pPr>
        <w:spacing w:line="400" w:lineRule="exact"/>
        <w:rPr>
          <w:rFonts w:ascii="仿宋_GB2312" w:hAnsi="Calibri"/>
          <w:sz w:val="32"/>
          <w:szCs w:val="32"/>
        </w:rPr>
      </w:pPr>
    </w:p>
    <w:tbl>
      <w:tblPr>
        <w:tblStyle w:val="3"/>
        <w:tblW w:w="9606"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68"/>
        <w:gridCol w:w="4128"/>
        <w:gridCol w:w="1931"/>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0" w:type="dxa"/>
            <w:vAlign w:val="center"/>
          </w:tcPr>
          <w:p>
            <w:pPr>
              <w:widowControl/>
              <w:spacing w:line="320" w:lineRule="exact"/>
              <w:jc w:val="center"/>
              <w:rPr>
                <w:rFonts w:ascii="宋体" w:hAnsi="宋体" w:eastAsia="宋体" w:cs="宋体"/>
                <w:b/>
                <w:kern w:val="0"/>
                <w:sz w:val="24"/>
              </w:rPr>
            </w:pPr>
            <w:r>
              <w:rPr>
                <w:rFonts w:hint="eastAsia" w:ascii="宋体" w:hAnsi="宋体" w:eastAsia="宋体" w:cs="宋体"/>
                <w:b/>
                <w:kern w:val="0"/>
                <w:sz w:val="24"/>
              </w:rPr>
              <w:t>序号</w:t>
            </w:r>
          </w:p>
        </w:tc>
        <w:tc>
          <w:tcPr>
            <w:tcW w:w="2068" w:type="dxa"/>
            <w:vAlign w:val="center"/>
          </w:tcPr>
          <w:p>
            <w:pPr>
              <w:widowControl/>
              <w:spacing w:line="320" w:lineRule="exact"/>
              <w:jc w:val="center"/>
              <w:rPr>
                <w:rFonts w:ascii="宋体" w:hAnsi="宋体" w:eastAsia="宋体" w:cs="宋体"/>
                <w:b/>
                <w:kern w:val="0"/>
                <w:sz w:val="24"/>
              </w:rPr>
            </w:pPr>
            <w:r>
              <w:rPr>
                <w:rFonts w:hint="eastAsia" w:ascii="宋体" w:hAnsi="宋体" w:eastAsia="宋体" w:cs="宋体"/>
                <w:b/>
                <w:kern w:val="0"/>
                <w:sz w:val="24"/>
              </w:rPr>
              <w:t>评价指标</w:t>
            </w:r>
          </w:p>
        </w:tc>
        <w:tc>
          <w:tcPr>
            <w:tcW w:w="4128" w:type="dxa"/>
            <w:vAlign w:val="center"/>
          </w:tcPr>
          <w:p>
            <w:pPr>
              <w:widowControl/>
              <w:spacing w:line="320" w:lineRule="exact"/>
              <w:jc w:val="center"/>
              <w:rPr>
                <w:rFonts w:ascii="宋体" w:hAnsi="宋体" w:eastAsia="宋体" w:cs="宋体"/>
                <w:b/>
                <w:kern w:val="0"/>
                <w:sz w:val="24"/>
              </w:rPr>
            </w:pPr>
            <w:r>
              <w:rPr>
                <w:rFonts w:hint="eastAsia" w:ascii="宋体" w:hAnsi="宋体" w:eastAsia="宋体" w:cs="宋体"/>
                <w:b/>
                <w:kern w:val="0"/>
                <w:sz w:val="24"/>
              </w:rPr>
              <w:t>考评标准</w:t>
            </w:r>
          </w:p>
        </w:tc>
        <w:tc>
          <w:tcPr>
            <w:tcW w:w="1931" w:type="dxa"/>
            <w:vAlign w:val="center"/>
          </w:tcPr>
          <w:p>
            <w:pPr>
              <w:widowControl/>
              <w:spacing w:line="320" w:lineRule="exact"/>
              <w:jc w:val="center"/>
              <w:rPr>
                <w:rFonts w:ascii="宋体" w:hAnsi="宋体" w:eastAsia="宋体" w:cs="宋体"/>
                <w:b/>
                <w:kern w:val="0"/>
                <w:sz w:val="24"/>
              </w:rPr>
            </w:pPr>
            <w:r>
              <w:rPr>
                <w:rFonts w:hint="eastAsia" w:ascii="宋体" w:hAnsi="宋体" w:eastAsia="宋体" w:cs="宋体"/>
                <w:b/>
                <w:kern w:val="0"/>
                <w:sz w:val="24"/>
              </w:rPr>
              <w:t>数据来源</w:t>
            </w:r>
          </w:p>
        </w:tc>
        <w:tc>
          <w:tcPr>
            <w:tcW w:w="739" w:type="dxa"/>
            <w:vAlign w:val="center"/>
          </w:tcPr>
          <w:p>
            <w:pPr>
              <w:widowControl/>
              <w:spacing w:line="320" w:lineRule="exact"/>
              <w:jc w:val="center"/>
              <w:rPr>
                <w:rFonts w:ascii="宋体" w:hAnsi="宋体" w:eastAsia="宋体" w:cs="宋体"/>
                <w:b/>
                <w:kern w:val="0"/>
                <w:sz w:val="24"/>
              </w:rPr>
            </w:pPr>
            <w:r>
              <w:rPr>
                <w:rFonts w:hint="eastAsia" w:ascii="宋体" w:hAnsi="宋体" w:eastAsia="宋体" w:cs="宋体"/>
                <w:b/>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0" w:type="dxa"/>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1</w:t>
            </w:r>
          </w:p>
        </w:tc>
        <w:tc>
          <w:tcPr>
            <w:tcW w:w="2068"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sz w:val="24"/>
              </w:rPr>
              <w:t>当年新增境内上市、过会或新三板精选层挂牌企业数量</w:t>
            </w:r>
          </w:p>
        </w:tc>
        <w:tc>
          <w:tcPr>
            <w:tcW w:w="4128" w:type="dxa"/>
            <w:vAlign w:val="center"/>
          </w:tcPr>
          <w:p>
            <w:pPr>
              <w:widowControl/>
              <w:numPr>
                <w:ilvl w:val="0"/>
                <w:numId w:val="1"/>
              </w:numPr>
              <w:spacing w:line="330" w:lineRule="exact"/>
              <w:ind w:left="35" w:hanging="35"/>
              <w:rPr>
                <w:rFonts w:ascii="宋体" w:hAnsi="宋体" w:eastAsia="宋体" w:cs="宋体"/>
                <w:kern w:val="0"/>
                <w:sz w:val="24"/>
              </w:rPr>
            </w:pPr>
            <w:r>
              <w:rPr>
                <w:rFonts w:hint="eastAsia" w:ascii="宋体" w:hAnsi="宋体" w:eastAsia="宋体" w:cs="宋体"/>
                <w:kern w:val="0"/>
                <w:sz w:val="24"/>
              </w:rPr>
              <w:t>基本分（</w:t>
            </w:r>
            <w:r>
              <w:rPr>
                <w:rFonts w:ascii="宋体" w:hAnsi="宋体" w:eastAsia="宋体" w:cs="宋体"/>
                <w:kern w:val="0"/>
                <w:sz w:val="24"/>
              </w:rPr>
              <w:t>15</w:t>
            </w:r>
            <w:r>
              <w:rPr>
                <w:rFonts w:hint="eastAsia" w:ascii="宋体" w:hAnsi="宋体" w:eastAsia="宋体" w:cs="宋体"/>
                <w:kern w:val="0"/>
                <w:sz w:val="24"/>
              </w:rPr>
              <w:t>分）：当年度新增企业在沪深交易所上市或新三板精选层挂牌数量超过</w:t>
            </w:r>
            <w:r>
              <w:rPr>
                <w:rFonts w:ascii="宋体" w:hAnsi="宋体" w:eastAsia="宋体" w:cs="宋体"/>
                <w:kern w:val="0"/>
                <w:sz w:val="24"/>
              </w:rPr>
              <w:t>1</w:t>
            </w:r>
            <w:r>
              <w:rPr>
                <w:rFonts w:hint="eastAsia" w:ascii="宋体" w:hAnsi="宋体" w:eastAsia="宋体" w:cs="宋体"/>
                <w:kern w:val="0"/>
                <w:sz w:val="24"/>
              </w:rPr>
              <w:t>家，得基本分</w:t>
            </w:r>
            <w:r>
              <w:rPr>
                <w:rFonts w:ascii="宋体" w:hAnsi="宋体" w:eastAsia="宋体" w:cs="宋体"/>
                <w:kern w:val="0"/>
                <w:sz w:val="24"/>
              </w:rPr>
              <w:t>15</w:t>
            </w:r>
            <w:r>
              <w:rPr>
                <w:rFonts w:hint="eastAsia" w:ascii="宋体" w:hAnsi="宋体" w:eastAsia="宋体" w:cs="宋体"/>
                <w:kern w:val="0"/>
                <w:sz w:val="24"/>
              </w:rPr>
              <w:t>分；新增企业于证监会、沪深交易所或新三板精选层审核过会数量超过</w:t>
            </w:r>
            <w:r>
              <w:rPr>
                <w:rFonts w:ascii="宋体" w:hAnsi="宋体" w:eastAsia="宋体" w:cs="宋体"/>
                <w:kern w:val="0"/>
                <w:sz w:val="24"/>
              </w:rPr>
              <w:t>1</w:t>
            </w:r>
            <w:r>
              <w:rPr>
                <w:rFonts w:hint="eastAsia" w:ascii="宋体" w:hAnsi="宋体" w:eastAsia="宋体" w:cs="宋体"/>
                <w:kern w:val="0"/>
                <w:sz w:val="24"/>
              </w:rPr>
              <w:t>家，得基本分</w:t>
            </w:r>
            <w:r>
              <w:rPr>
                <w:rFonts w:ascii="宋体" w:hAnsi="宋体" w:eastAsia="宋体" w:cs="宋体"/>
                <w:kern w:val="0"/>
                <w:sz w:val="24"/>
              </w:rPr>
              <w:t>7.5</w:t>
            </w:r>
            <w:r>
              <w:rPr>
                <w:rFonts w:hint="eastAsia" w:ascii="宋体" w:hAnsi="宋体" w:eastAsia="宋体" w:cs="宋体"/>
                <w:kern w:val="0"/>
                <w:sz w:val="24"/>
              </w:rPr>
              <w:t>分。该项上限</w:t>
            </w:r>
            <w:r>
              <w:rPr>
                <w:rFonts w:ascii="宋体" w:hAnsi="宋体" w:eastAsia="宋体" w:cs="宋体"/>
                <w:kern w:val="0"/>
                <w:sz w:val="24"/>
              </w:rPr>
              <w:t>15</w:t>
            </w:r>
            <w:r>
              <w:rPr>
                <w:rFonts w:hint="eastAsia" w:ascii="宋体" w:hAnsi="宋体" w:eastAsia="宋体" w:cs="宋体"/>
                <w:kern w:val="0"/>
                <w:sz w:val="24"/>
              </w:rPr>
              <w:t>分，若无不得分。</w:t>
            </w:r>
          </w:p>
          <w:p>
            <w:pPr>
              <w:widowControl/>
              <w:numPr>
                <w:ilvl w:val="0"/>
                <w:numId w:val="1"/>
              </w:numPr>
              <w:spacing w:line="330" w:lineRule="exact"/>
              <w:ind w:left="35" w:hanging="35"/>
              <w:rPr>
                <w:rFonts w:ascii="宋体" w:hAnsi="宋体" w:eastAsia="宋体" w:cs="宋体"/>
                <w:kern w:val="0"/>
                <w:sz w:val="24"/>
              </w:rPr>
            </w:pPr>
            <w:r>
              <w:rPr>
                <w:rFonts w:hint="eastAsia" w:ascii="宋体" w:hAnsi="宋体" w:eastAsia="宋体" w:cs="宋体"/>
                <w:kern w:val="0"/>
                <w:sz w:val="24"/>
              </w:rPr>
              <w:t>增量得分（</w:t>
            </w:r>
            <w:r>
              <w:rPr>
                <w:rFonts w:ascii="宋体" w:hAnsi="宋体" w:eastAsia="宋体" w:cs="宋体"/>
                <w:kern w:val="0"/>
                <w:sz w:val="24"/>
              </w:rPr>
              <w:t>20</w:t>
            </w:r>
            <w:r>
              <w:rPr>
                <w:rFonts w:hint="eastAsia" w:ascii="宋体" w:hAnsi="宋体" w:eastAsia="宋体" w:cs="宋体"/>
                <w:kern w:val="0"/>
                <w:sz w:val="24"/>
              </w:rPr>
              <w:t>分）：在获得基本分（服务1家企业）基础上，每新增</w:t>
            </w:r>
            <w:r>
              <w:rPr>
                <w:rFonts w:ascii="宋体" w:hAnsi="宋体" w:eastAsia="宋体" w:cs="宋体"/>
                <w:kern w:val="0"/>
                <w:sz w:val="24"/>
              </w:rPr>
              <w:t>1</w:t>
            </w:r>
            <w:r>
              <w:rPr>
                <w:rFonts w:hint="eastAsia" w:ascii="宋体" w:hAnsi="宋体" w:eastAsia="宋体" w:cs="宋体"/>
                <w:kern w:val="0"/>
                <w:sz w:val="24"/>
              </w:rPr>
              <w:t>家企业在沪深交易所上市或新三板精选层挂牌，加</w:t>
            </w:r>
            <w:r>
              <w:rPr>
                <w:rFonts w:ascii="宋体" w:hAnsi="宋体" w:eastAsia="宋体" w:cs="宋体"/>
                <w:kern w:val="0"/>
                <w:sz w:val="24"/>
              </w:rPr>
              <w:t>4</w:t>
            </w:r>
            <w:r>
              <w:rPr>
                <w:rFonts w:hint="eastAsia" w:ascii="宋体" w:hAnsi="宋体" w:eastAsia="宋体" w:cs="宋体"/>
                <w:kern w:val="0"/>
                <w:sz w:val="24"/>
              </w:rPr>
              <w:t>分；每新增</w:t>
            </w:r>
            <w:r>
              <w:rPr>
                <w:rFonts w:ascii="宋体" w:hAnsi="宋体" w:eastAsia="宋体" w:cs="宋体"/>
                <w:kern w:val="0"/>
                <w:sz w:val="24"/>
              </w:rPr>
              <w:t>1</w:t>
            </w:r>
            <w:r>
              <w:rPr>
                <w:rFonts w:hint="eastAsia" w:ascii="宋体" w:hAnsi="宋体" w:eastAsia="宋体" w:cs="宋体"/>
                <w:kern w:val="0"/>
                <w:sz w:val="24"/>
              </w:rPr>
              <w:t>家企业于证监会、沪深交易所或新三板精选层审核过会，加</w:t>
            </w:r>
            <w:r>
              <w:rPr>
                <w:rFonts w:ascii="宋体" w:hAnsi="宋体" w:eastAsia="宋体" w:cs="宋体"/>
                <w:kern w:val="0"/>
                <w:sz w:val="24"/>
              </w:rPr>
              <w:t>2</w:t>
            </w:r>
            <w:r>
              <w:rPr>
                <w:rFonts w:hint="eastAsia" w:ascii="宋体" w:hAnsi="宋体" w:eastAsia="宋体" w:cs="宋体"/>
                <w:kern w:val="0"/>
                <w:sz w:val="24"/>
              </w:rPr>
              <w:t>分。该项上限</w:t>
            </w:r>
            <w:r>
              <w:rPr>
                <w:rFonts w:ascii="宋体" w:hAnsi="宋体" w:eastAsia="宋体" w:cs="宋体"/>
                <w:kern w:val="0"/>
                <w:sz w:val="24"/>
              </w:rPr>
              <w:t>20</w:t>
            </w:r>
            <w:r>
              <w:rPr>
                <w:rFonts w:hint="eastAsia" w:ascii="宋体" w:hAnsi="宋体" w:eastAsia="宋体" w:cs="宋体"/>
                <w:kern w:val="0"/>
                <w:sz w:val="24"/>
              </w:rPr>
              <w:t>分，若无不得分。</w:t>
            </w:r>
          </w:p>
        </w:tc>
        <w:tc>
          <w:tcPr>
            <w:tcW w:w="1931"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kern w:val="0"/>
                <w:sz w:val="24"/>
              </w:rPr>
              <w:t>各机构自主申报、相关主管部门核实、</w:t>
            </w:r>
            <w:r>
              <w:rPr>
                <w:rFonts w:ascii="宋体" w:hAnsi="宋体" w:eastAsia="宋体" w:cs="宋体"/>
                <w:kern w:val="0"/>
                <w:sz w:val="24"/>
              </w:rPr>
              <w:t>WIND</w:t>
            </w:r>
            <w:r>
              <w:rPr>
                <w:rFonts w:hint="eastAsia" w:ascii="宋体" w:hAnsi="宋体" w:eastAsia="宋体" w:cs="宋体"/>
                <w:kern w:val="0"/>
                <w:sz w:val="24"/>
              </w:rPr>
              <w:t>。</w:t>
            </w:r>
          </w:p>
        </w:tc>
        <w:tc>
          <w:tcPr>
            <w:tcW w:w="739" w:type="dxa"/>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jc w:val="center"/>
        </w:trPr>
        <w:tc>
          <w:tcPr>
            <w:tcW w:w="740" w:type="dxa"/>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2</w:t>
            </w:r>
          </w:p>
        </w:tc>
        <w:tc>
          <w:tcPr>
            <w:tcW w:w="2068"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sz w:val="24"/>
              </w:rPr>
              <w:t>当年新增在新三板基础层、创新层挂牌企业数量</w:t>
            </w:r>
          </w:p>
        </w:tc>
        <w:tc>
          <w:tcPr>
            <w:tcW w:w="4128" w:type="dxa"/>
            <w:vAlign w:val="center"/>
          </w:tcPr>
          <w:p>
            <w:pPr>
              <w:widowControl/>
              <w:numPr>
                <w:ilvl w:val="0"/>
                <w:numId w:val="2"/>
              </w:numPr>
              <w:spacing w:line="330" w:lineRule="exact"/>
              <w:ind w:left="0" w:firstLine="0"/>
              <w:rPr>
                <w:rFonts w:ascii="宋体" w:hAnsi="宋体" w:eastAsia="宋体" w:cs="宋体"/>
                <w:kern w:val="0"/>
                <w:sz w:val="24"/>
              </w:rPr>
            </w:pPr>
            <w:r>
              <w:rPr>
                <w:rFonts w:hint="eastAsia" w:ascii="宋体" w:hAnsi="宋体" w:eastAsia="宋体" w:cs="宋体"/>
                <w:kern w:val="0"/>
                <w:sz w:val="24"/>
              </w:rPr>
              <w:t>基本分（</w:t>
            </w:r>
            <w:r>
              <w:rPr>
                <w:rFonts w:ascii="宋体" w:hAnsi="宋体" w:eastAsia="宋体" w:cs="宋体"/>
                <w:kern w:val="0"/>
                <w:sz w:val="24"/>
              </w:rPr>
              <w:t>5</w:t>
            </w:r>
            <w:r>
              <w:rPr>
                <w:rFonts w:hint="eastAsia" w:ascii="宋体" w:hAnsi="宋体" w:eastAsia="宋体" w:cs="宋体"/>
                <w:kern w:val="0"/>
                <w:sz w:val="24"/>
              </w:rPr>
              <w:t>分）：当年度达到新增企业在新三板基础层或创新层挂牌数量超过</w:t>
            </w:r>
            <w:r>
              <w:rPr>
                <w:rFonts w:ascii="宋体" w:hAnsi="宋体" w:eastAsia="宋体" w:cs="宋体"/>
                <w:kern w:val="0"/>
                <w:sz w:val="24"/>
              </w:rPr>
              <w:t>1</w:t>
            </w:r>
            <w:r>
              <w:rPr>
                <w:rFonts w:hint="eastAsia" w:ascii="宋体" w:hAnsi="宋体" w:eastAsia="宋体" w:cs="宋体"/>
                <w:kern w:val="0"/>
                <w:sz w:val="24"/>
              </w:rPr>
              <w:t>家，得基本分</w:t>
            </w:r>
            <w:r>
              <w:rPr>
                <w:rFonts w:ascii="宋体" w:hAnsi="宋体" w:eastAsia="宋体" w:cs="宋体"/>
                <w:kern w:val="0"/>
                <w:sz w:val="24"/>
              </w:rPr>
              <w:t>5</w:t>
            </w:r>
            <w:r>
              <w:rPr>
                <w:rFonts w:hint="eastAsia" w:ascii="宋体" w:hAnsi="宋体" w:eastAsia="宋体" w:cs="宋体"/>
                <w:kern w:val="0"/>
                <w:sz w:val="24"/>
              </w:rPr>
              <w:t>分，若无不得分。</w:t>
            </w:r>
          </w:p>
          <w:p>
            <w:pPr>
              <w:widowControl/>
              <w:numPr>
                <w:ilvl w:val="0"/>
                <w:numId w:val="2"/>
              </w:numPr>
              <w:spacing w:line="330" w:lineRule="exact"/>
              <w:ind w:left="35" w:hanging="35"/>
              <w:jc w:val="left"/>
              <w:rPr>
                <w:rFonts w:ascii="宋体" w:hAnsi="宋体" w:eastAsia="宋体" w:cs="宋体"/>
                <w:kern w:val="0"/>
                <w:sz w:val="24"/>
              </w:rPr>
            </w:pPr>
            <w:r>
              <w:rPr>
                <w:rFonts w:hint="eastAsia" w:ascii="宋体" w:hAnsi="宋体" w:eastAsia="宋体" w:cs="宋体"/>
                <w:kern w:val="0"/>
                <w:sz w:val="24"/>
              </w:rPr>
              <w:t>增量得分（</w:t>
            </w:r>
            <w:r>
              <w:rPr>
                <w:rFonts w:ascii="宋体" w:hAnsi="宋体" w:eastAsia="宋体" w:cs="宋体"/>
                <w:kern w:val="0"/>
                <w:sz w:val="24"/>
              </w:rPr>
              <w:t>10</w:t>
            </w:r>
            <w:r>
              <w:rPr>
                <w:rFonts w:hint="eastAsia" w:ascii="宋体" w:hAnsi="宋体" w:eastAsia="宋体" w:cs="宋体"/>
                <w:kern w:val="0"/>
                <w:sz w:val="24"/>
              </w:rPr>
              <w:t>分）：在获得基本分（服务1家企业）基础上，每新增</w:t>
            </w:r>
            <w:r>
              <w:rPr>
                <w:rFonts w:ascii="宋体" w:hAnsi="宋体" w:eastAsia="宋体" w:cs="宋体"/>
                <w:kern w:val="0"/>
                <w:sz w:val="24"/>
              </w:rPr>
              <w:t>1</w:t>
            </w:r>
            <w:r>
              <w:rPr>
                <w:rFonts w:hint="eastAsia" w:ascii="宋体" w:hAnsi="宋体" w:eastAsia="宋体" w:cs="宋体"/>
                <w:kern w:val="0"/>
                <w:sz w:val="24"/>
              </w:rPr>
              <w:t>家新三板基础层或创新层挂牌企业，加</w:t>
            </w:r>
            <w:r>
              <w:rPr>
                <w:rFonts w:ascii="宋体" w:hAnsi="宋体" w:eastAsia="宋体" w:cs="宋体"/>
                <w:kern w:val="0"/>
                <w:sz w:val="24"/>
              </w:rPr>
              <w:t>2</w:t>
            </w:r>
            <w:r>
              <w:rPr>
                <w:rFonts w:hint="eastAsia" w:ascii="宋体" w:hAnsi="宋体" w:eastAsia="宋体" w:cs="宋体"/>
                <w:kern w:val="0"/>
                <w:sz w:val="24"/>
              </w:rPr>
              <w:t>分。该项上限</w:t>
            </w:r>
            <w:r>
              <w:rPr>
                <w:rFonts w:ascii="宋体" w:hAnsi="宋体" w:eastAsia="宋体" w:cs="宋体"/>
                <w:kern w:val="0"/>
                <w:sz w:val="24"/>
              </w:rPr>
              <w:t>10</w:t>
            </w:r>
            <w:r>
              <w:rPr>
                <w:rFonts w:hint="eastAsia" w:ascii="宋体" w:hAnsi="宋体" w:eastAsia="宋体" w:cs="宋体"/>
                <w:kern w:val="0"/>
                <w:sz w:val="24"/>
              </w:rPr>
              <w:t>分，若无不得分。</w:t>
            </w:r>
          </w:p>
        </w:tc>
        <w:tc>
          <w:tcPr>
            <w:tcW w:w="1931"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kern w:val="0"/>
                <w:sz w:val="24"/>
              </w:rPr>
              <w:t>各机构自主申报、相关主管部门核实、</w:t>
            </w:r>
            <w:r>
              <w:rPr>
                <w:rFonts w:ascii="宋体" w:hAnsi="宋体" w:eastAsia="宋体" w:cs="宋体"/>
                <w:kern w:val="0"/>
                <w:sz w:val="24"/>
              </w:rPr>
              <w:t>WIND</w:t>
            </w:r>
            <w:r>
              <w:rPr>
                <w:rFonts w:hint="eastAsia" w:ascii="宋体" w:hAnsi="宋体" w:eastAsia="宋体" w:cs="宋体"/>
                <w:kern w:val="0"/>
                <w:sz w:val="24"/>
              </w:rPr>
              <w:t>。</w:t>
            </w:r>
          </w:p>
        </w:tc>
        <w:tc>
          <w:tcPr>
            <w:tcW w:w="739" w:type="dxa"/>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0" w:type="dxa"/>
            <w:vAlign w:val="center"/>
          </w:tcPr>
          <w:p>
            <w:pPr>
              <w:widowControl/>
              <w:spacing w:line="360" w:lineRule="exact"/>
              <w:jc w:val="center"/>
              <w:rPr>
                <w:rFonts w:ascii="宋体" w:hAnsi="宋体" w:eastAsia="宋体" w:cs="宋体"/>
                <w:kern w:val="0"/>
                <w:sz w:val="24"/>
              </w:rPr>
            </w:pPr>
            <w:r>
              <w:rPr>
                <w:rFonts w:ascii="宋体" w:hAnsi="宋体" w:eastAsia="宋体" w:cs="宋体"/>
                <w:kern w:val="0"/>
                <w:sz w:val="24"/>
              </w:rPr>
              <w:t>3</w:t>
            </w:r>
          </w:p>
        </w:tc>
        <w:tc>
          <w:tcPr>
            <w:tcW w:w="2068"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sz w:val="24"/>
              </w:rPr>
              <w:t>当年新增在证监局辅导备案企业数量</w:t>
            </w:r>
          </w:p>
        </w:tc>
        <w:tc>
          <w:tcPr>
            <w:tcW w:w="4128" w:type="dxa"/>
            <w:vAlign w:val="center"/>
          </w:tcPr>
          <w:p>
            <w:pPr>
              <w:widowControl/>
              <w:numPr>
                <w:ilvl w:val="0"/>
                <w:numId w:val="3"/>
              </w:numPr>
              <w:spacing w:line="330" w:lineRule="exact"/>
              <w:ind w:left="0" w:firstLine="0"/>
              <w:rPr>
                <w:rFonts w:ascii="宋体" w:hAnsi="宋体" w:eastAsia="宋体" w:cs="宋体"/>
                <w:kern w:val="0"/>
                <w:sz w:val="24"/>
              </w:rPr>
            </w:pPr>
            <w:r>
              <w:rPr>
                <w:rFonts w:hint="eastAsia" w:ascii="宋体" w:hAnsi="宋体" w:eastAsia="宋体" w:cs="宋体"/>
                <w:kern w:val="0"/>
                <w:sz w:val="24"/>
              </w:rPr>
              <w:t>基本分（</w:t>
            </w:r>
            <w:r>
              <w:rPr>
                <w:rFonts w:ascii="宋体" w:hAnsi="宋体" w:eastAsia="宋体" w:cs="宋体"/>
                <w:kern w:val="0"/>
                <w:sz w:val="24"/>
              </w:rPr>
              <w:t>5</w:t>
            </w:r>
            <w:r>
              <w:rPr>
                <w:rFonts w:hint="eastAsia" w:ascii="宋体" w:hAnsi="宋体" w:eastAsia="宋体" w:cs="宋体"/>
                <w:kern w:val="0"/>
                <w:sz w:val="24"/>
              </w:rPr>
              <w:t>分）：当年度新增在证监局辅导备案的拟上市企业超过</w:t>
            </w:r>
            <w:r>
              <w:rPr>
                <w:rFonts w:ascii="宋体" w:hAnsi="宋体" w:eastAsia="宋体" w:cs="宋体"/>
                <w:kern w:val="0"/>
                <w:sz w:val="24"/>
              </w:rPr>
              <w:t>1</w:t>
            </w:r>
            <w:r>
              <w:rPr>
                <w:rFonts w:hint="eastAsia" w:ascii="宋体" w:hAnsi="宋体" w:eastAsia="宋体" w:cs="宋体"/>
                <w:kern w:val="0"/>
                <w:sz w:val="24"/>
              </w:rPr>
              <w:t>家，得基本分</w:t>
            </w:r>
            <w:r>
              <w:rPr>
                <w:rFonts w:ascii="宋体" w:hAnsi="宋体" w:eastAsia="宋体" w:cs="宋体"/>
                <w:kern w:val="0"/>
                <w:sz w:val="24"/>
              </w:rPr>
              <w:t>5</w:t>
            </w:r>
            <w:r>
              <w:rPr>
                <w:rFonts w:hint="eastAsia" w:ascii="宋体" w:hAnsi="宋体" w:eastAsia="宋体" w:cs="宋体"/>
                <w:kern w:val="0"/>
                <w:sz w:val="24"/>
              </w:rPr>
              <w:t>分，若无不得分。</w:t>
            </w:r>
          </w:p>
          <w:p>
            <w:pPr>
              <w:widowControl/>
              <w:numPr>
                <w:ilvl w:val="0"/>
                <w:numId w:val="3"/>
              </w:numPr>
              <w:spacing w:line="330" w:lineRule="exact"/>
              <w:ind w:left="0" w:firstLine="0"/>
              <w:rPr>
                <w:rFonts w:ascii="宋体" w:hAnsi="宋体" w:eastAsia="宋体" w:cs="宋体"/>
                <w:kern w:val="0"/>
                <w:sz w:val="24"/>
              </w:rPr>
            </w:pPr>
            <w:r>
              <w:rPr>
                <w:rFonts w:hint="eastAsia" w:ascii="宋体" w:hAnsi="宋体" w:eastAsia="宋体" w:cs="宋体"/>
                <w:kern w:val="0"/>
                <w:sz w:val="24"/>
              </w:rPr>
              <w:t>增量得分（</w:t>
            </w:r>
            <w:r>
              <w:rPr>
                <w:rFonts w:ascii="宋体" w:hAnsi="宋体" w:eastAsia="宋体" w:cs="宋体"/>
                <w:kern w:val="0"/>
                <w:sz w:val="24"/>
              </w:rPr>
              <w:t>5</w:t>
            </w:r>
            <w:r>
              <w:rPr>
                <w:rFonts w:hint="eastAsia" w:ascii="宋体" w:hAnsi="宋体" w:eastAsia="宋体" w:cs="宋体"/>
                <w:kern w:val="0"/>
                <w:sz w:val="24"/>
              </w:rPr>
              <w:t>分）：在获得基本分（服务1家企业）基础上，每新增</w:t>
            </w:r>
            <w:r>
              <w:rPr>
                <w:rFonts w:ascii="宋体" w:hAnsi="宋体" w:eastAsia="宋体" w:cs="宋体"/>
                <w:kern w:val="0"/>
                <w:sz w:val="24"/>
              </w:rPr>
              <w:t>1</w:t>
            </w:r>
            <w:r>
              <w:rPr>
                <w:rFonts w:hint="eastAsia" w:ascii="宋体" w:hAnsi="宋体" w:eastAsia="宋体" w:cs="宋体"/>
                <w:kern w:val="0"/>
                <w:sz w:val="24"/>
              </w:rPr>
              <w:t>家在证监局辅导备案的拟上市企业，加</w:t>
            </w:r>
            <w:r>
              <w:rPr>
                <w:rFonts w:ascii="宋体" w:hAnsi="宋体" w:eastAsia="宋体" w:cs="宋体"/>
                <w:kern w:val="0"/>
                <w:sz w:val="24"/>
              </w:rPr>
              <w:t>1</w:t>
            </w:r>
            <w:r>
              <w:rPr>
                <w:rFonts w:hint="eastAsia" w:ascii="宋体" w:hAnsi="宋体" w:eastAsia="宋体" w:cs="宋体"/>
                <w:kern w:val="0"/>
                <w:sz w:val="24"/>
              </w:rPr>
              <w:t>分。该项上限</w:t>
            </w:r>
            <w:r>
              <w:rPr>
                <w:rFonts w:ascii="宋体" w:hAnsi="宋体" w:eastAsia="宋体" w:cs="宋体"/>
                <w:kern w:val="0"/>
                <w:sz w:val="24"/>
              </w:rPr>
              <w:t>5</w:t>
            </w:r>
            <w:r>
              <w:rPr>
                <w:rFonts w:hint="eastAsia" w:ascii="宋体" w:hAnsi="宋体" w:eastAsia="宋体" w:cs="宋体"/>
                <w:kern w:val="0"/>
                <w:sz w:val="24"/>
              </w:rPr>
              <w:t>分，若无不得分。</w:t>
            </w:r>
          </w:p>
        </w:tc>
        <w:tc>
          <w:tcPr>
            <w:tcW w:w="1931"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kern w:val="0"/>
                <w:sz w:val="24"/>
              </w:rPr>
              <w:t>各机构自主申报、相关主管部门核实、</w:t>
            </w:r>
            <w:r>
              <w:rPr>
                <w:rFonts w:ascii="宋体" w:hAnsi="宋体" w:eastAsia="宋体" w:cs="宋体"/>
                <w:kern w:val="0"/>
                <w:sz w:val="24"/>
              </w:rPr>
              <w:t>WIND</w:t>
            </w:r>
            <w:r>
              <w:rPr>
                <w:rFonts w:hint="eastAsia" w:ascii="宋体" w:hAnsi="宋体" w:eastAsia="宋体" w:cs="宋体"/>
                <w:kern w:val="0"/>
                <w:sz w:val="24"/>
              </w:rPr>
              <w:t>。</w:t>
            </w:r>
          </w:p>
        </w:tc>
        <w:tc>
          <w:tcPr>
            <w:tcW w:w="739" w:type="dxa"/>
            <w:vAlign w:val="center"/>
          </w:tcPr>
          <w:p>
            <w:pPr>
              <w:widowControl/>
              <w:spacing w:line="360" w:lineRule="exact"/>
              <w:jc w:val="center"/>
              <w:rPr>
                <w:rFonts w:ascii="宋体" w:hAnsi="宋体" w:eastAsia="宋体" w:cs="宋体"/>
                <w:kern w:val="0"/>
                <w:sz w:val="24"/>
              </w:rPr>
            </w:pPr>
            <w:r>
              <w:rPr>
                <w:rFonts w:ascii="宋体" w:hAnsi="宋体" w:eastAsia="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0" w:type="dxa"/>
            <w:vAlign w:val="center"/>
          </w:tcPr>
          <w:p>
            <w:pPr>
              <w:widowControl/>
              <w:spacing w:line="360" w:lineRule="exact"/>
              <w:jc w:val="center"/>
              <w:rPr>
                <w:rFonts w:ascii="宋体" w:hAnsi="宋体" w:eastAsia="宋体" w:cs="宋体"/>
                <w:kern w:val="0"/>
                <w:sz w:val="24"/>
              </w:rPr>
            </w:pPr>
            <w:r>
              <w:rPr>
                <w:rFonts w:ascii="宋体" w:hAnsi="宋体" w:eastAsia="宋体" w:cs="宋体"/>
                <w:kern w:val="0"/>
                <w:sz w:val="24"/>
              </w:rPr>
              <w:t>4</w:t>
            </w:r>
          </w:p>
        </w:tc>
        <w:tc>
          <w:tcPr>
            <w:tcW w:w="2068"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sz w:val="24"/>
              </w:rPr>
              <w:t>当年新增企业上市首发融资、再融资以及新三板精选层挂牌企业融资金额</w:t>
            </w:r>
          </w:p>
        </w:tc>
        <w:tc>
          <w:tcPr>
            <w:tcW w:w="4128" w:type="dxa"/>
            <w:vAlign w:val="center"/>
          </w:tcPr>
          <w:p>
            <w:pPr>
              <w:widowControl/>
              <w:spacing w:line="330" w:lineRule="exact"/>
              <w:rPr>
                <w:rFonts w:ascii="宋体" w:hAnsi="宋体" w:eastAsia="宋体" w:cs="宋体"/>
                <w:kern w:val="0"/>
                <w:sz w:val="24"/>
              </w:rPr>
            </w:pPr>
            <w:r>
              <w:rPr>
                <w:rFonts w:hint="eastAsia" w:ascii="仿宋_GB2312" w:hAnsi="宋体" w:cs="宋体"/>
                <w:kern w:val="0"/>
                <w:sz w:val="24"/>
              </w:rPr>
              <w:t>①</w:t>
            </w:r>
            <w:r>
              <w:rPr>
                <w:rFonts w:hint="eastAsia" w:ascii="宋体" w:hAnsi="宋体" w:eastAsia="宋体" w:cs="宋体"/>
                <w:kern w:val="0"/>
                <w:sz w:val="24"/>
              </w:rPr>
              <w:t>基本分（</w:t>
            </w:r>
            <w:r>
              <w:rPr>
                <w:rFonts w:ascii="宋体" w:hAnsi="宋体" w:eastAsia="宋体" w:cs="宋体"/>
                <w:kern w:val="0"/>
                <w:sz w:val="24"/>
              </w:rPr>
              <w:t>10</w:t>
            </w:r>
            <w:r>
              <w:rPr>
                <w:rFonts w:hint="eastAsia" w:ascii="宋体" w:hAnsi="宋体" w:eastAsia="宋体" w:cs="宋体"/>
                <w:kern w:val="0"/>
                <w:sz w:val="24"/>
              </w:rPr>
              <w:t>分）：按单个参评机构统计，当年度新增上市公司首发融资、再融资以及新三板精选层挂牌企业融资金额合计超过</w:t>
            </w:r>
            <w:r>
              <w:rPr>
                <w:rFonts w:ascii="宋体" w:hAnsi="宋体" w:eastAsia="宋体" w:cs="宋体"/>
                <w:kern w:val="0"/>
                <w:sz w:val="24"/>
              </w:rPr>
              <w:t>1</w:t>
            </w:r>
            <w:r>
              <w:rPr>
                <w:rFonts w:hint="eastAsia" w:ascii="宋体" w:hAnsi="宋体" w:eastAsia="宋体" w:cs="宋体"/>
                <w:kern w:val="0"/>
                <w:sz w:val="24"/>
              </w:rPr>
              <w:t>亿元，得基本分</w:t>
            </w:r>
            <w:r>
              <w:rPr>
                <w:rFonts w:ascii="宋体" w:hAnsi="宋体" w:eastAsia="宋体" w:cs="宋体"/>
                <w:kern w:val="0"/>
                <w:sz w:val="24"/>
              </w:rPr>
              <w:t>10</w:t>
            </w:r>
            <w:r>
              <w:rPr>
                <w:rFonts w:hint="eastAsia" w:ascii="宋体" w:hAnsi="宋体" w:eastAsia="宋体" w:cs="宋体"/>
                <w:kern w:val="0"/>
                <w:sz w:val="24"/>
              </w:rPr>
              <w:t>分，若无不得分。</w:t>
            </w:r>
          </w:p>
          <w:p>
            <w:pPr>
              <w:widowControl/>
              <w:spacing w:line="330" w:lineRule="exact"/>
              <w:rPr>
                <w:rFonts w:ascii="宋体" w:hAnsi="宋体" w:eastAsia="宋体" w:cs="宋体"/>
                <w:kern w:val="0"/>
                <w:sz w:val="24"/>
              </w:rPr>
            </w:pPr>
            <w:r>
              <w:rPr>
                <w:rFonts w:hint="eastAsia" w:ascii="仿宋_GB2312" w:hAnsi="宋体" w:cs="宋体"/>
                <w:kern w:val="0"/>
                <w:sz w:val="24"/>
              </w:rPr>
              <w:t>②</w:t>
            </w:r>
            <w:r>
              <w:rPr>
                <w:rFonts w:hint="eastAsia" w:ascii="宋体" w:hAnsi="宋体" w:eastAsia="宋体" w:cs="宋体"/>
                <w:kern w:val="0"/>
                <w:sz w:val="24"/>
              </w:rPr>
              <w:t>增量得分（</w:t>
            </w:r>
            <w:r>
              <w:rPr>
                <w:rFonts w:ascii="宋体" w:hAnsi="宋体" w:eastAsia="宋体" w:cs="宋体"/>
                <w:kern w:val="0"/>
                <w:sz w:val="24"/>
              </w:rPr>
              <w:t>10</w:t>
            </w:r>
            <w:r>
              <w:rPr>
                <w:rFonts w:hint="eastAsia" w:ascii="宋体" w:hAnsi="宋体" w:eastAsia="宋体" w:cs="宋体"/>
                <w:kern w:val="0"/>
                <w:sz w:val="24"/>
              </w:rPr>
              <w:t>分）：在获得基本分（服务融资1亿元）的基础上，</w:t>
            </w:r>
            <w:r>
              <w:rPr>
                <w:rFonts w:ascii="宋体" w:hAnsi="宋体" w:eastAsia="宋体" w:cs="宋体"/>
                <w:kern w:val="0"/>
                <w:sz w:val="24"/>
              </w:rPr>
              <w:t>1</w:t>
            </w:r>
            <w:r>
              <w:rPr>
                <w:rFonts w:hint="eastAsia" w:ascii="宋体" w:hAnsi="宋体" w:eastAsia="宋体" w:cs="宋体"/>
                <w:kern w:val="0"/>
                <w:sz w:val="24"/>
              </w:rPr>
              <w:t>亿元＜新增首发融资、再融资和新三板精选层挂牌企业融资金额≤</w:t>
            </w:r>
            <w:r>
              <w:rPr>
                <w:rFonts w:ascii="宋体" w:hAnsi="宋体" w:eastAsia="宋体" w:cs="宋体"/>
                <w:kern w:val="0"/>
                <w:sz w:val="24"/>
              </w:rPr>
              <w:t>10</w:t>
            </w:r>
            <w:r>
              <w:rPr>
                <w:rFonts w:hint="eastAsia" w:ascii="宋体" w:hAnsi="宋体" w:eastAsia="宋体" w:cs="宋体"/>
                <w:kern w:val="0"/>
                <w:sz w:val="24"/>
              </w:rPr>
              <w:t>亿元，加</w:t>
            </w:r>
            <w:r>
              <w:rPr>
                <w:rFonts w:ascii="宋体" w:hAnsi="宋体" w:eastAsia="宋体" w:cs="宋体"/>
                <w:kern w:val="0"/>
                <w:sz w:val="24"/>
              </w:rPr>
              <w:t>4</w:t>
            </w:r>
            <w:r>
              <w:rPr>
                <w:rFonts w:hint="eastAsia" w:ascii="宋体" w:hAnsi="宋体" w:eastAsia="宋体" w:cs="宋体"/>
                <w:kern w:val="0"/>
                <w:sz w:val="24"/>
              </w:rPr>
              <w:t>分；</w:t>
            </w:r>
            <w:r>
              <w:rPr>
                <w:rFonts w:ascii="宋体" w:hAnsi="宋体" w:eastAsia="宋体" w:cs="宋体"/>
                <w:kern w:val="0"/>
                <w:sz w:val="24"/>
              </w:rPr>
              <w:t>10</w:t>
            </w:r>
            <w:r>
              <w:rPr>
                <w:rFonts w:hint="eastAsia" w:ascii="宋体" w:hAnsi="宋体" w:eastAsia="宋体" w:cs="宋体"/>
                <w:kern w:val="0"/>
                <w:sz w:val="24"/>
              </w:rPr>
              <w:t>亿元＜新增首发融资、再融资和新三板精选层挂牌企业融资金额≤</w:t>
            </w:r>
            <w:r>
              <w:rPr>
                <w:rFonts w:ascii="宋体" w:hAnsi="宋体" w:eastAsia="宋体" w:cs="宋体"/>
                <w:kern w:val="0"/>
                <w:sz w:val="24"/>
              </w:rPr>
              <w:t>50</w:t>
            </w:r>
            <w:r>
              <w:rPr>
                <w:rFonts w:hint="eastAsia" w:ascii="宋体" w:hAnsi="宋体" w:eastAsia="宋体" w:cs="宋体"/>
                <w:kern w:val="0"/>
                <w:sz w:val="24"/>
              </w:rPr>
              <w:t>亿元，加</w:t>
            </w:r>
            <w:r>
              <w:rPr>
                <w:rFonts w:ascii="宋体" w:hAnsi="宋体" w:eastAsia="宋体" w:cs="宋体"/>
                <w:kern w:val="0"/>
                <w:sz w:val="24"/>
              </w:rPr>
              <w:t>6</w:t>
            </w:r>
            <w:r>
              <w:rPr>
                <w:rFonts w:hint="eastAsia" w:ascii="宋体" w:hAnsi="宋体" w:eastAsia="宋体" w:cs="宋体"/>
                <w:kern w:val="0"/>
                <w:sz w:val="24"/>
              </w:rPr>
              <w:t>分；</w:t>
            </w:r>
            <w:r>
              <w:rPr>
                <w:rFonts w:ascii="宋体" w:hAnsi="宋体" w:eastAsia="宋体" w:cs="宋体"/>
                <w:kern w:val="0"/>
                <w:sz w:val="24"/>
              </w:rPr>
              <w:t>50</w:t>
            </w:r>
            <w:r>
              <w:rPr>
                <w:rFonts w:hint="eastAsia" w:ascii="宋体" w:hAnsi="宋体" w:eastAsia="宋体" w:cs="宋体"/>
                <w:kern w:val="0"/>
                <w:sz w:val="24"/>
              </w:rPr>
              <w:t>亿元＜新增首发融资、再融资和新三板精选层挂牌企业融资金额≤</w:t>
            </w:r>
            <w:r>
              <w:rPr>
                <w:rFonts w:ascii="宋体" w:hAnsi="宋体" w:eastAsia="宋体" w:cs="宋体"/>
                <w:kern w:val="0"/>
                <w:sz w:val="24"/>
              </w:rPr>
              <w:t>100</w:t>
            </w:r>
            <w:r>
              <w:rPr>
                <w:rFonts w:hint="eastAsia" w:ascii="宋体" w:hAnsi="宋体" w:eastAsia="宋体" w:cs="宋体"/>
                <w:kern w:val="0"/>
                <w:sz w:val="24"/>
              </w:rPr>
              <w:t>亿元，加</w:t>
            </w:r>
            <w:r>
              <w:rPr>
                <w:rFonts w:ascii="宋体" w:hAnsi="宋体" w:eastAsia="宋体" w:cs="宋体"/>
                <w:kern w:val="0"/>
                <w:sz w:val="24"/>
              </w:rPr>
              <w:t>8</w:t>
            </w:r>
            <w:r>
              <w:rPr>
                <w:rFonts w:hint="eastAsia" w:ascii="宋体" w:hAnsi="宋体" w:eastAsia="宋体" w:cs="宋体"/>
                <w:kern w:val="0"/>
                <w:sz w:val="24"/>
              </w:rPr>
              <w:t>分；新增首发融资、再融资和新三板精选层挂牌企业融资金额≥</w:t>
            </w:r>
            <w:r>
              <w:rPr>
                <w:rFonts w:ascii="宋体" w:hAnsi="宋体" w:eastAsia="宋体" w:cs="宋体"/>
                <w:kern w:val="0"/>
                <w:sz w:val="24"/>
              </w:rPr>
              <w:t>100</w:t>
            </w:r>
            <w:r>
              <w:rPr>
                <w:rFonts w:hint="eastAsia" w:ascii="宋体" w:hAnsi="宋体" w:eastAsia="宋体" w:cs="宋体"/>
                <w:kern w:val="0"/>
                <w:sz w:val="24"/>
              </w:rPr>
              <w:t>亿元，加</w:t>
            </w:r>
            <w:r>
              <w:rPr>
                <w:rFonts w:ascii="宋体" w:hAnsi="宋体" w:eastAsia="宋体" w:cs="宋体"/>
                <w:kern w:val="0"/>
                <w:sz w:val="24"/>
              </w:rPr>
              <w:t>10</w:t>
            </w:r>
            <w:r>
              <w:rPr>
                <w:rFonts w:hint="eastAsia" w:ascii="宋体" w:hAnsi="宋体" w:eastAsia="宋体" w:cs="宋体"/>
                <w:kern w:val="0"/>
                <w:sz w:val="24"/>
              </w:rPr>
              <w:t>分。该项上限</w:t>
            </w:r>
            <w:r>
              <w:rPr>
                <w:rFonts w:ascii="宋体" w:hAnsi="宋体" w:eastAsia="宋体" w:cs="宋体"/>
                <w:kern w:val="0"/>
                <w:sz w:val="24"/>
              </w:rPr>
              <w:t>10</w:t>
            </w:r>
            <w:r>
              <w:rPr>
                <w:rFonts w:hint="eastAsia" w:ascii="宋体" w:hAnsi="宋体" w:eastAsia="宋体" w:cs="宋体"/>
                <w:kern w:val="0"/>
                <w:sz w:val="24"/>
              </w:rPr>
              <w:t>分，若无不得分。</w:t>
            </w:r>
          </w:p>
        </w:tc>
        <w:tc>
          <w:tcPr>
            <w:tcW w:w="1931" w:type="dxa"/>
            <w:vAlign w:val="center"/>
          </w:tcPr>
          <w:p>
            <w:pPr>
              <w:widowControl/>
              <w:spacing w:line="330" w:lineRule="exact"/>
              <w:jc w:val="left"/>
              <w:rPr>
                <w:rFonts w:ascii="宋体" w:hAnsi="宋体" w:eastAsia="宋体" w:cs="宋体"/>
                <w:kern w:val="0"/>
                <w:sz w:val="24"/>
              </w:rPr>
            </w:pPr>
            <w:r>
              <w:rPr>
                <w:rFonts w:hint="eastAsia" w:ascii="宋体" w:hAnsi="宋体" w:eastAsia="宋体" w:cs="宋体"/>
                <w:kern w:val="0"/>
                <w:sz w:val="24"/>
              </w:rPr>
              <w:t>各机构自主申报、相关主管部门核实、</w:t>
            </w:r>
            <w:r>
              <w:rPr>
                <w:rFonts w:ascii="宋体" w:hAnsi="宋体" w:eastAsia="宋体" w:cs="宋体"/>
                <w:kern w:val="0"/>
                <w:sz w:val="24"/>
              </w:rPr>
              <w:t>WIND</w:t>
            </w:r>
            <w:r>
              <w:rPr>
                <w:rFonts w:hint="eastAsia" w:ascii="宋体" w:hAnsi="宋体" w:eastAsia="宋体" w:cs="宋体"/>
                <w:kern w:val="0"/>
                <w:sz w:val="24"/>
              </w:rPr>
              <w:t>。</w:t>
            </w:r>
          </w:p>
        </w:tc>
        <w:tc>
          <w:tcPr>
            <w:tcW w:w="739" w:type="dxa"/>
            <w:vAlign w:val="center"/>
          </w:tcPr>
          <w:p>
            <w:pPr>
              <w:widowControl/>
              <w:spacing w:line="360" w:lineRule="exact"/>
              <w:jc w:val="center"/>
              <w:rPr>
                <w:rFonts w:ascii="宋体" w:hAnsi="宋体" w:eastAsia="宋体" w:cs="宋体"/>
                <w:kern w:val="0"/>
                <w:sz w:val="24"/>
              </w:rPr>
            </w:pPr>
            <w:r>
              <w:rPr>
                <w:rFonts w:ascii="宋体" w:hAnsi="宋体" w:eastAsia="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0" w:type="dxa"/>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5</w:t>
            </w:r>
          </w:p>
        </w:tc>
        <w:tc>
          <w:tcPr>
            <w:tcW w:w="2068" w:type="dxa"/>
            <w:vAlign w:val="center"/>
          </w:tcPr>
          <w:p>
            <w:pPr>
              <w:widowControl/>
              <w:spacing w:line="320" w:lineRule="exact"/>
              <w:jc w:val="left"/>
              <w:rPr>
                <w:rFonts w:ascii="宋体" w:hAnsi="宋体" w:eastAsia="宋体" w:cs="宋体"/>
                <w:kern w:val="0"/>
                <w:sz w:val="24"/>
              </w:rPr>
            </w:pPr>
            <w:r>
              <w:rPr>
                <w:rFonts w:hint="eastAsia" w:ascii="宋体" w:hAnsi="宋体" w:eastAsia="宋体" w:cs="宋体"/>
                <w:kern w:val="0"/>
                <w:sz w:val="24"/>
              </w:rPr>
              <w:t>参评机构保荐的</w:t>
            </w:r>
            <w:r>
              <w:rPr>
                <w:rFonts w:hint="eastAsia" w:ascii="宋体" w:hAnsi="宋体" w:eastAsia="宋体" w:cs="宋体"/>
                <w:sz w:val="24"/>
              </w:rPr>
              <w:t>上市公司是否出现</w:t>
            </w:r>
            <w:r>
              <w:rPr>
                <w:rFonts w:hint="eastAsia" w:ascii="宋体" w:hAnsi="宋体" w:eastAsia="宋体" w:cs="宋体"/>
                <w:kern w:val="0"/>
                <w:sz w:val="24"/>
              </w:rPr>
              <w:t>欺诈发行、财务造假等</w:t>
            </w:r>
            <w:r>
              <w:rPr>
                <w:rFonts w:hint="eastAsia" w:ascii="宋体" w:hAnsi="宋体" w:eastAsia="宋体" w:cs="宋体"/>
                <w:sz w:val="24"/>
              </w:rPr>
              <w:t>重大风险</w:t>
            </w:r>
          </w:p>
        </w:tc>
        <w:tc>
          <w:tcPr>
            <w:tcW w:w="4128" w:type="dxa"/>
            <w:vAlign w:val="center"/>
          </w:tcPr>
          <w:p>
            <w:pPr>
              <w:widowControl/>
              <w:spacing w:line="320" w:lineRule="exact"/>
              <w:jc w:val="left"/>
              <w:rPr>
                <w:rFonts w:ascii="宋体" w:hAnsi="宋体" w:eastAsia="宋体" w:cs="宋体"/>
                <w:kern w:val="0"/>
                <w:sz w:val="24"/>
              </w:rPr>
            </w:pPr>
            <w:r>
              <w:rPr>
                <w:rFonts w:hint="eastAsia" w:ascii="宋体" w:hAnsi="宋体" w:eastAsia="宋体" w:cs="宋体"/>
                <w:kern w:val="0"/>
                <w:sz w:val="24"/>
              </w:rPr>
              <w:t>基本分（</w:t>
            </w:r>
            <w:r>
              <w:rPr>
                <w:rFonts w:ascii="宋体" w:hAnsi="宋体" w:eastAsia="宋体" w:cs="宋体"/>
                <w:kern w:val="0"/>
                <w:sz w:val="24"/>
              </w:rPr>
              <w:t>20</w:t>
            </w:r>
            <w:r>
              <w:rPr>
                <w:rFonts w:hint="eastAsia" w:ascii="宋体" w:hAnsi="宋体" w:eastAsia="宋体" w:cs="宋体"/>
                <w:kern w:val="0"/>
                <w:sz w:val="24"/>
              </w:rPr>
              <w:t>分）：若当年度参评机构保荐的上市公司没有出现欺诈发行、财务造假等重大风险事件，得基本分</w:t>
            </w:r>
            <w:r>
              <w:rPr>
                <w:rFonts w:ascii="宋体" w:hAnsi="宋体" w:eastAsia="宋体" w:cs="宋体"/>
                <w:kern w:val="0"/>
                <w:sz w:val="24"/>
              </w:rPr>
              <w:t>20</w:t>
            </w:r>
            <w:r>
              <w:rPr>
                <w:rFonts w:hint="eastAsia" w:ascii="宋体" w:hAnsi="宋体" w:eastAsia="宋体" w:cs="宋体"/>
                <w:kern w:val="0"/>
                <w:sz w:val="24"/>
              </w:rPr>
              <w:t>分。</w:t>
            </w:r>
          </w:p>
          <w:p>
            <w:pPr>
              <w:widowControl/>
              <w:spacing w:line="320" w:lineRule="exact"/>
              <w:jc w:val="left"/>
              <w:rPr>
                <w:rFonts w:ascii="宋体" w:hAnsi="宋体" w:eastAsia="宋体" w:cs="宋体"/>
                <w:kern w:val="0"/>
                <w:sz w:val="24"/>
              </w:rPr>
            </w:pPr>
            <w:r>
              <w:rPr>
                <w:rFonts w:hint="eastAsia" w:ascii="宋体" w:hAnsi="宋体" w:eastAsia="宋体" w:cs="宋体"/>
                <w:kern w:val="0"/>
                <w:sz w:val="24"/>
              </w:rPr>
              <w:t>若出现欺诈发行、财务造假等重大风险事件，则按以下情况评价：</w:t>
            </w:r>
            <w:r>
              <w:rPr>
                <w:rFonts w:ascii="宋体" w:hAnsi="宋体" w:eastAsia="宋体" w:cs="宋体"/>
                <w:kern w:val="0"/>
                <w:sz w:val="24"/>
              </w:rPr>
              <w:t>1.</w:t>
            </w:r>
            <w:r>
              <w:rPr>
                <w:rFonts w:hint="eastAsia" w:ascii="宋体" w:hAnsi="宋体" w:eastAsia="宋体" w:cs="宋体"/>
                <w:kern w:val="0"/>
                <w:sz w:val="24"/>
              </w:rPr>
              <w:t>若参评机构积极配合有关部门做好风险处置工作，且监管部门尚未认定参评机构负相应责任，得</w:t>
            </w:r>
            <w:r>
              <w:rPr>
                <w:rFonts w:ascii="宋体" w:hAnsi="宋体" w:eastAsia="宋体" w:cs="宋体"/>
                <w:kern w:val="0"/>
                <w:sz w:val="24"/>
              </w:rPr>
              <w:t>10</w:t>
            </w:r>
            <w:r>
              <w:rPr>
                <w:rFonts w:hint="eastAsia" w:ascii="宋体" w:hAnsi="宋体" w:eastAsia="宋体" w:cs="宋体"/>
                <w:kern w:val="0"/>
                <w:sz w:val="24"/>
              </w:rPr>
              <w:t>分；</w:t>
            </w:r>
            <w:r>
              <w:rPr>
                <w:rFonts w:ascii="宋体" w:hAnsi="宋体" w:eastAsia="宋体" w:cs="宋体"/>
                <w:kern w:val="0"/>
                <w:sz w:val="24"/>
              </w:rPr>
              <w:t>2.</w:t>
            </w:r>
            <w:r>
              <w:rPr>
                <w:rFonts w:hint="eastAsia" w:ascii="宋体" w:hAnsi="宋体" w:eastAsia="宋体" w:cs="宋体"/>
                <w:kern w:val="0"/>
                <w:sz w:val="24"/>
              </w:rPr>
              <w:t>若参评机构未积极配合有关部门做好风险处置工作，或被监管部门采取立案调查、行政处罚等措施，取消当年参评资格。</w:t>
            </w:r>
          </w:p>
        </w:tc>
        <w:tc>
          <w:tcPr>
            <w:tcW w:w="1931" w:type="dxa"/>
            <w:vAlign w:val="center"/>
          </w:tcPr>
          <w:p>
            <w:pPr>
              <w:widowControl/>
              <w:spacing w:line="320" w:lineRule="exact"/>
              <w:jc w:val="left"/>
              <w:rPr>
                <w:rFonts w:ascii="宋体" w:hAnsi="宋体" w:eastAsia="宋体" w:cs="宋体"/>
                <w:kern w:val="0"/>
                <w:sz w:val="24"/>
              </w:rPr>
            </w:pPr>
            <w:r>
              <w:rPr>
                <w:rFonts w:hint="eastAsia" w:ascii="宋体" w:hAnsi="宋体" w:eastAsia="宋体" w:cs="宋体"/>
                <w:kern w:val="0"/>
                <w:sz w:val="24"/>
              </w:rPr>
              <w:t>相关主管部门</w:t>
            </w:r>
          </w:p>
        </w:tc>
        <w:tc>
          <w:tcPr>
            <w:tcW w:w="739" w:type="dxa"/>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0" w:type="dxa"/>
            <w:vAlign w:val="center"/>
          </w:tcPr>
          <w:p>
            <w:pPr>
              <w:widowControl/>
              <w:spacing w:line="320" w:lineRule="exact"/>
              <w:jc w:val="center"/>
              <w:rPr>
                <w:rFonts w:ascii="宋体" w:hAnsi="宋体" w:eastAsia="宋体" w:cs="宋体"/>
                <w:kern w:val="0"/>
                <w:sz w:val="24"/>
              </w:rPr>
            </w:pPr>
            <w:r>
              <w:rPr>
                <w:rFonts w:hint="eastAsia" w:ascii="宋体" w:hAnsi="宋体" w:eastAsia="宋体" w:cs="宋体"/>
                <w:kern w:val="0"/>
                <w:sz w:val="24"/>
              </w:rPr>
              <w:t>6</w:t>
            </w:r>
          </w:p>
        </w:tc>
        <w:tc>
          <w:tcPr>
            <w:tcW w:w="2068" w:type="dxa"/>
            <w:vAlign w:val="center"/>
          </w:tcPr>
          <w:p>
            <w:pPr>
              <w:widowControl/>
              <w:spacing w:line="320" w:lineRule="exact"/>
              <w:jc w:val="left"/>
              <w:rPr>
                <w:rFonts w:ascii="宋体" w:hAnsi="宋体" w:eastAsia="宋体" w:cs="宋体"/>
                <w:kern w:val="0"/>
                <w:sz w:val="24"/>
              </w:rPr>
            </w:pPr>
            <w:r>
              <w:rPr>
                <w:rFonts w:hint="eastAsia" w:ascii="宋体" w:hAnsi="宋体" w:eastAsia="宋体" w:cs="宋体"/>
                <w:kern w:val="0"/>
                <w:sz w:val="24"/>
              </w:rPr>
              <w:t>业务主管部门意见</w:t>
            </w:r>
          </w:p>
        </w:tc>
        <w:tc>
          <w:tcPr>
            <w:tcW w:w="4128" w:type="dxa"/>
            <w:vAlign w:val="center"/>
          </w:tcPr>
          <w:p>
            <w:pPr>
              <w:widowControl/>
              <w:spacing w:line="320" w:lineRule="exact"/>
              <w:jc w:val="left"/>
              <w:rPr>
                <w:rFonts w:ascii="宋体" w:hAnsi="宋体" w:eastAsia="宋体" w:cs="宋体"/>
                <w:kern w:val="0"/>
                <w:sz w:val="24"/>
              </w:rPr>
            </w:pPr>
            <w:r>
              <w:rPr>
                <w:rFonts w:hint="eastAsia" w:ascii="宋体" w:hAnsi="宋体" w:eastAsia="宋体" w:cs="宋体"/>
                <w:kern w:val="0"/>
                <w:sz w:val="24"/>
              </w:rPr>
              <w:t>福建证监局可根据业务主管情况对参评机构出具是否取消其参评资格的书面意见，若对其参评出具否定意见，经评价小组审议同意，则取消其当年参评资格。</w:t>
            </w:r>
          </w:p>
        </w:tc>
        <w:tc>
          <w:tcPr>
            <w:tcW w:w="1931" w:type="dxa"/>
            <w:vAlign w:val="center"/>
          </w:tcPr>
          <w:p>
            <w:pPr>
              <w:widowControl/>
              <w:spacing w:line="320" w:lineRule="exact"/>
              <w:jc w:val="left"/>
              <w:rPr>
                <w:rFonts w:ascii="宋体" w:hAnsi="宋体" w:eastAsia="宋体" w:cs="宋体"/>
                <w:kern w:val="0"/>
                <w:sz w:val="24"/>
              </w:rPr>
            </w:pPr>
            <w:r>
              <w:rPr>
                <w:rFonts w:hint="eastAsia" w:ascii="宋体" w:hAnsi="宋体" w:eastAsia="宋体" w:cs="宋体"/>
                <w:kern w:val="0"/>
                <w:sz w:val="24"/>
              </w:rPr>
              <w:t>福建证监局提出否定意见须有充分的事实和理由供评价小组审议，按照少数服从多数原则表决决定是否取消参评机构的参评资格。</w:t>
            </w:r>
          </w:p>
        </w:tc>
        <w:tc>
          <w:tcPr>
            <w:tcW w:w="739" w:type="dxa"/>
            <w:vAlign w:val="center"/>
          </w:tcPr>
          <w:p>
            <w:pPr>
              <w:widowControl/>
              <w:spacing w:line="320" w:lineRule="exact"/>
              <w:jc w:val="center"/>
              <w:rPr>
                <w:rFonts w:ascii="宋体" w:hAnsi="宋体" w:eastAsia="宋体" w:cs="宋体"/>
                <w:kern w:val="0"/>
                <w:sz w:val="24"/>
              </w:rPr>
            </w:pPr>
          </w:p>
        </w:tc>
      </w:tr>
    </w:tbl>
    <w:p>
      <w:pPr>
        <w:widowControl/>
        <w:jc w:val="left"/>
        <w:rPr>
          <w:rFonts w:ascii="??_GB2312" w:hAnsi="Calibri" w:eastAsia="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04A"/>
    <w:multiLevelType w:val="multilevel"/>
    <w:tmpl w:val="03BA304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E296853"/>
    <w:multiLevelType w:val="multilevel"/>
    <w:tmpl w:val="3E296853"/>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3CF4C3F"/>
    <w:multiLevelType w:val="multilevel"/>
    <w:tmpl w:val="63CF4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830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2023-10-25T07:55:36Z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