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8E218">
      <w:pPr>
        <w:rPr>
          <w:rFonts w:hint="eastAsia" w:ascii="黑体" w:hAnsi="黑体" w:eastAsia="黑体"/>
          <w:sz w:val="32"/>
          <w:szCs w:val="32"/>
        </w:rPr>
      </w:pPr>
      <w:r>
        <w:rPr>
          <w:rFonts w:hint="eastAsia" w:ascii="黑体" w:hAnsi="黑体" w:eastAsia="黑体"/>
          <w:sz w:val="32"/>
          <w:szCs w:val="32"/>
        </w:rPr>
        <w:t>附件1</w:t>
      </w:r>
    </w:p>
    <w:p w14:paraId="0FD87465">
      <w:pPr>
        <w:ind w:firstLine="660" w:firstLineChars="150"/>
        <w:jc w:val="center"/>
        <w:rPr>
          <w:rFonts w:hint="eastAsia" w:ascii="黑体" w:hAnsi="黑体" w:eastAsia="黑体"/>
          <w:sz w:val="32"/>
          <w:szCs w:val="32"/>
        </w:rPr>
      </w:pPr>
      <w:r>
        <w:rPr>
          <w:rFonts w:hint="eastAsia" w:ascii="方正小标宋_GBK" w:eastAsia="方正小标宋_GBK"/>
          <w:sz w:val="44"/>
          <w:szCs w:val="44"/>
        </w:rPr>
        <w:t>继续有效的文件</w:t>
      </w:r>
    </w:p>
    <w:tbl>
      <w:tblPr>
        <w:tblStyle w:val="4"/>
        <w:tblW w:w="13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
        <w:gridCol w:w="2732"/>
        <w:gridCol w:w="8091"/>
        <w:gridCol w:w="2205"/>
      </w:tblGrid>
      <w:tr w14:paraId="4E99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67B0110F">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7C5725A9">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文号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3057F86A">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标题</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F14EFE9">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清理意见</w:t>
            </w:r>
          </w:p>
        </w:tc>
      </w:tr>
      <w:tr w14:paraId="78AF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675280C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7A6CB0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"javascript:openAttDoc('7')" \o "javascript:openAttDoc('7')"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闽金融办〔2016〕42号</w:t>
            </w:r>
            <w:r>
              <w:rPr>
                <w:rFonts w:hint="eastAsia" w:ascii="宋体" w:hAnsi="宋体" w:eastAsia="宋体" w:cs="宋体"/>
                <w:i w:val="0"/>
                <w:color w:val="000000"/>
                <w:kern w:val="0"/>
                <w:sz w:val="24"/>
                <w:szCs w:val="24"/>
                <w:u w:val="none"/>
                <w:lang w:val="en-US" w:eastAsia="zh-CN" w:bidi="ar"/>
              </w:rPr>
              <w:fldChar w:fldCharType="end"/>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342F7F4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"javascript:openAttachment('7')" \o "javascript:openAttachment('7')"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福建省金融工作办公室关于进一步加强交易场所监管工作的通知</w:t>
            </w:r>
            <w:r>
              <w:rPr>
                <w:rFonts w:hint="eastAsia" w:ascii="宋体" w:hAnsi="宋体" w:eastAsia="宋体" w:cs="宋体"/>
                <w:i w:val="0"/>
                <w:color w:val="000000"/>
                <w:kern w:val="0"/>
                <w:sz w:val="24"/>
                <w:szCs w:val="24"/>
                <w:u w:val="none"/>
                <w:lang w:val="en-US" w:eastAsia="zh-CN" w:bidi="ar"/>
              </w:rPr>
              <w:fldChar w:fldCharType="end"/>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1B89D7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4F54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2EEB48B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28EB6F1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"javascript:openAttDoc('16')" \o "javascript:openAttDoc('16')"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闽金融办〔2017〕9号</w:t>
            </w:r>
            <w:r>
              <w:rPr>
                <w:rFonts w:hint="eastAsia" w:ascii="宋体" w:hAnsi="宋体" w:eastAsia="宋体" w:cs="宋体"/>
                <w:i w:val="0"/>
                <w:color w:val="000000"/>
                <w:kern w:val="0"/>
                <w:sz w:val="24"/>
                <w:szCs w:val="24"/>
                <w:u w:val="none"/>
                <w:lang w:val="en-US" w:eastAsia="zh-CN" w:bidi="ar"/>
              </w:rPr>
              <w:fldChar w:fldCharType="end"/>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6C7F014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"javascript:openAttachment('16')" \o "javascript:openAttachment('16')"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福建省金融工作办公室关于印发《福建省交易场所董事、监事和高级管理人员任职资格监管办法（试行）》的通知</w:t>
            </w:r>
            <w:r>
              <w:rPr>
                <w:rFonts w:hint="eastAsia" w:ascii="宋体" w:hAnsi="宋体" w:eastAsia="宋体" w:cs="宋体"/>
                <w:i w:val="0"/>
                <w:color w:val="000000"/>
                <w:kern w:val="0"/>
                <w:sz w:val="24"/>
                <w:szCs w:val="24"/>
                <w:u w:val="none"/>
                <w:lang w:val="en-US" w:eastAsia="zh-CN" w:bidi="ar"/>
              </w:rPr>
              <w:fldChar w:fldCharType="end"/>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BA06A9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4665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47594D8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C0CC8A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"javascript:openAttDoc('15')" \o "javascript:openAttDoc('15')"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闽金融办〔2017〕10号</w:t>
            </w:r>
            <w:r>
              <w:rPr>
                <w:rFonts w:hint="eastAsia" w:ascii="宋体" w:hAnsi="宋体" w:eastAsia="宋体" w:cs="宋体"/>
                <w:i w:val="0"/>
                <w:color w:val="000000"/>
                <w:kern w:val="0"/>
                <w:sz w:val="24"/>
                <w:szCs w:val="24"/>
                <w:u w:val="none"/>
                <w:lang w:val="en-US" w:eastAsia="zh-CN" w:bidi="ar"/>
              </w:rPr>
              <w:fldChar w:fldCharType="end"/>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30CC02D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"javascript:openAttachment('15')" \o "javascript:openAttachment('15')"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福建省金融工作办公室关于印发《福建省交易场所检查办法（试行）》的通知</w:t>
            </w:r>
            <w:r>
              <w:rPr>
                <w:rFonts w:hint="eastAsia" w:ascii="宋体" w:hAnsi="宋体" w:eastAsia="宋体" w:cs="宋体"/>
                <w:i w:val="0"/>
                <w:color w:val="000000"/>
                <w:kern w:val="0"/>
                <w:sz w:val="24"/>
                <w:szCs w:val="24"/>
                <w:u w:val="none"/>
                <w:lang w:val="en-US" w:eastAsia="zh-CN" w:bidi="ar"/>
              </w:rPr>
              <w:fldChar w:fldCharType="end"/>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FD2DED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7738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7403439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9062CB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"javascript:openAttDoc('17')" \o "javascript:openAttDoc('17')"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闽金融办〔2017〕11号</w:t>
            </w:r>
            <w:r>
              <w:rPr>
                <w:rFonts w:hint="eastAsia" w:ascii="宋体" w:hAnsi="宋体" w:eastAsia="宋体" w:cs="宋体"/>
                <w:i w:val="0"/>
                <w:color w:val="000000"/>
                <w:kern w:val="0"/>
                <w:sz w:val="24"/>
                <w:szCs w:val="24"/>
                <w:u w:val="none"/>
                <w:lang w:val="en-US" w:eastAsia="zh-CN" w:bidi="ar"/>
              </w:rPr>
              <w:fldChar w:fldCharType="end"/>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60EF895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"javascript:openAttachment('17')" \o "javascript:openAttachment('17')"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福建省金融工作办公室关于印发《福建省交易场所从业人员执业行为准则（试行）》的通知</w:t>
            </w:r>
            <w:r>
              <w:rPr>
                <w:rFonts w:hint="eastAsia" w:ascii="宋体" w:hAnsi="宋体" w:eastAsia="宋体" w:cs="宋体"/>
                <w:i w:val="0"/>
                <w:color w:val="000000"/>
                <w:kern w:val="0"/>
                <w:sz w:val="24"/>
                <w:szCs w:val="24"/>
                <w:u w:val="none"/>
                <w:lang w:val="en-US" w:eastAsia="zh-CN" w:bidi="ar"/>
              </w:rPr>
              <w:fldChar w:fldCharType="end"/>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692458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70B6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04379BE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2CF0520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"javascript:openAttDoc('9')" \o "javascript:openAttDoc('9')"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闽金融办〔2017〕14号</w:t>
            </w:r>
            <w:r>
              <w:rPr>
                <w:rFonts w:hint="eastAsia" w:ascii="宋体" w:hAnsi="宋体" w:eastAsia="宋体" w:cs="宋体"/>
                <w:i w:val="0"/>
                <w:color w:val="000000"/>
                <w:kern w:val="0"/>
                <w:sz w:val="24"/>
                <w:szCs w:val="24"/>
                <w:u w:val="none"/>
                <w:lang w:val="en-US" w:eastAsia="zh-CN" w:bidi="ar"/>
              </w:rPr>
              <w:fldChar w:fldCharType="end"/>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56DEC8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"javascript:openAttachment('9')" \o "javascript:openAttachment('9')"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福建省金融工作办公室关于印发《福建省交易场所投资者适当性管理指引（试行）》的通知</w:t>
            </w:r>
            <w:r>
              <w:rPr>
                <w:rFonts w:hint="eastAsia" w:ascii="宋体" w:hAnsi="宋体" w:eastAsia="宋体" w:cs="宋体"/>
                <w:i w:val="0"/>
                <w:color w:val="000000"/>
                <w:kern w:val="0"/>
                <w:sz w:val="24"/>
                <w:szCs w:val="24"/>
                <w:u w:val="none"/>
                <w:lang w:val="en-US" w:eastAsia="zh-CN" w:bidi="ar"/>
              </w:rPr>
              <w:fldChar w:fldCharType="end"/>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344702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77BA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05BCBD8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7B01FD4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"javascript:openAttDoc('15')" \o "javascript:openAttDoc('15')"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闽金融办〔2018〕15号</w:t>
            </w:r>
            <w:r>
              <w:rPr>
                <w:rFonts w:hint="eastAsia" w:ascii="宋体" w:hAnsi="宋体" w:eastAsia="宋体" w:cs="宋体"/>
                <w:i w:val="0"/>
                <w:color w:val="000000"/>
                <w:kern w:val="0"/>
                <w:sz w:val="24"/>
                <w:szCs w:val="24"/>
                <w:u w:val="none"/>
                <w:lang w:val="en-US" w:eastAsia="zh-CN" w:bidi="ar"/>
              </w:rPr>
              <w:fldChar w:fldCharType="end"/>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3A89842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 HYPERLINK "javascript:openAttachment('15')" \o "javascript:openAttachment('15')"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t>福建省金融工作办公室关于印发《加强实体经济金融服务进一步缓解融资难融资贵指导意见》的通知</w:t>
            </w:r>
            <w:r>
              <w:rPr>
                <w:rFonts w:hint="eastAsia" w:ascii="宋体" w:hAnsi="宋体" w:eastAsia="宋体" w:cs="宋体"/>
                <w:i w:val="0"/>
                <w:color w:val="000000"/>
                <w:kern w:val="0"/>
                <w:sz w:val="24"/>
                <w:szCs w:val="24"/>
                <w:u w:val="none"/>
                <w:lang w:val="en-US" w:eastAsia="zh-CN" w:bidi="ar"/>
              </w:rPr>
              <w:fldChar w:fldCharType="end"/>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C7CDF6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16AE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5608E4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0EC4974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闽金管〔2019〕26号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29DBD72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福建省地方金融监督管理局关于建立健全地方资产管理公司监管信息报送制度的通知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656EF0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6D6A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nil"/>
              <w:left w:val="single" w:color="000000" w:sz="4" w:space="0"/>
              <w:bottom w:val="single" w:color="000000" w:sz="4" w:space="0"/>
              <w:right w:val="single" w:color="000000" w:sz="4" w:space="0"/>
            </w:tcBorders>
            <w:noWrap w:val="0"/>
            <w:vAlign w:val="center"/>
          </w:tcPr>
          <w:p w14:paraId="03D187C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732" w:type="dxa"/>
            <w:tcBorders>
              <w:top w:val="nil"/>
              <w:left w:val="single" w:color="000000" w:sz="4" w:space="0"/>
              <w:bottom w:val="single" w:color="000000" w:sz="4" w:space="0"/>
              <w:right w:val="single" w:color="000000" w:sz="4" w:space="0"/>
            </w:tcBorders>
            <w:noWrap w:val="0"/>
            <w:vAlign w:val="center"/>
          </w:tcPr>
          <w:p w14:paraId="297ECF1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闽金管〔2020〕40号</w:t>
            </w:r>
          </w:p>
        </w:tc>
        <w:tc>
          <w:tcPr>
            <w:tcW w:w="8091" w:type="dxa"/>
            <w:tcBorders>
              <w:top w:val="nil"/>
              <w:left w:val="single" w:color="000000" w:sz="4" w:space="0"/>
              <w:bottom w:val="single" w:color="000000" w:sz="4" w:space="0"/>
              <w:right w:val="single" w:color="000000" w:sz="4" w:space="0"/>
            </w:tcBorders>
            <w:noWrap w:val="0"/>
            <w:vAlign w:val="center"/>
          </w:tcPr>
          <w:p w14:paraId="65E1B2B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福建省地方金融监督管理局等5部门关于印发《金融支持一二三产业“百千”增产增效行动的若干措施》的通知</w:t>
            </w:r>
          </w:p>
        </w:tc>
        <w:tc>
          <w:tcPr>
            <w:tcW w:w="2205" w:type="dxa"/>
            <w:tcBorders>
              <w:top w:val="nil"/>
              <w:left w:val="single" w:color="000000" w:sz="4" w:space="0"/>
              <w:bottom w:val="single" w:color="000000" w:sz="4" w:space="0"/>
              <w:right w:val="single" w:color="000000" w:sz="4" w:space="0"/>
            </w:tcBorders>
            <w:noWrap w:val="0"/>
            <w:vAlign w:val="center"/>
          </w:tcPr>
          <w:p w14:paraId="6D905B4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7C9E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68A98532">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4C6C1A4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闽整治办〔2020〕1号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6FADB3B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福建省互联网金融风险专项整治工作领导小组办公室 福建省网络借贷风险专项整治联合工作小组办公室关于转发《网络借贷信息中介机构转型为小额贷款公司试点的指导意见》的通知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9D86D3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4E1E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7542FA98">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68152A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闽金管〔2021〕56号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3AC9347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 w:eastAsia="zh-CN" w:bidi="ar"/>
              </w:rPr>
              <w:t>福建省地方金融监督管理局等八部门关于印发《福建省金融领域落实台胞台企同等待遇若干措施》的通知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8B7186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继续有效</w:t>
            </w:r>
          </w:p>
        </w:tc>
      </w:tr>
      <w:tr w14:paraId="52D9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7ACF77C3">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7AFE154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闽金管〔2021〕68号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0F62D04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福建省地方金融监督管理局关于印发《福建省地方金融监督管理局重大行政执法决定听证程序暂行办法》的通知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DE9835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315F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1117A6EE">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241E18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闽金管规〔2022〕3号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3B07E06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关于印发《金融支持常态化疫情防控加快促进经济社会发展若干措施》的通知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19286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026A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1093D566">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47FB79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闽金管规〔2022〕4号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4CCB80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　福建省财政厅　中国证监会福建监管局　中国证监会厦门监管局关于印发《加快推进企业上市行动方案》的通知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768552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501C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73A4D7AA">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47CAC0E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闽金管规〔2022〕7号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04E68E0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福建省地方金融监督管理局关于印发《福建省商业保理公司监督管理工作指引》的通知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21D162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4D76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35CF758A">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0B40C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闽金管规〔2022〕8号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02C496F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福建省地方金融监督管理局关于印发《福建省地方金融监督管理局行政许可和行政处罚等信用信息公示办法》的通知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D2C430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53D8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3772C1AB">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77F6BFA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闽金管规〔2022〕9号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6E0EDAD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福建省地方金融监督管理局关于印发《福建省地方金融监督管理局“双随机、一公开”监管工作办法》的通知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89A843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034E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1DB50AC6">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5F6C585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闽金管规〔2022〕10号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5038D7D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福建省地方金融监督管理局关于规范性文件和其他政策文件清理结果的通告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622027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7116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6" w:type="dxa"/>
            <w:tcBorders>
              <w:top w:val="nil"/>
              <w:left w:val="single" w:color="000000" w:sz="4" w:space="0"/>
              <w:bottom w:val="single" w:color="000000" w:sz="4" w:space="0"/>
              <w:right w:val="single" w:color="000000" w:sz="4" w:space="0"/>
            </w:tcBorders>
            <w:noWrap w:val="0"/>
            <w:vAlign w:val="center"/>
          </w:tcPr>
          <w:p w14:paraId="0D58BE81">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732" w:type="dxa"/>
            <w:tcBorders>
              <w:top w:val="nil"/>
              <w:left w:val="single" w:color="000000" w:sz="4" w:space="0"/>
              <w:bottom w:val="single" w:color="000000" w:sz="4" w:space="0"/>
              <w:right w:val="single" w:color="000000" w:sz="4" w:space="0"/>
            </w:tcBorders>
            <w:noWrap w:val="0"/>
            <w:vAlign w:val="center"/>
          </w:tcPr>
          <w:p w14:paraId="12C8AA9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闽金管规〔2023〕1号</w:t>
            </w:r>
          </w:p>
        </w:tc>
        <w:tc>
          <w:tcPr>
            <w:tcW w:w="8091" w:type="dxa"/>
            <w:tcBorders>
              <w:top w:val="nil"/>
              <w:left w:val="single" w:color="000000" w:sz="4" w:space="0"/>
              <w:bottom w:val="single" w:color="000000" w:sz="4" w:space="0"/>
              <w:right w:val="single" w:color="000000" w:sz="4" w:space="0"/>
            </w:tcBorders>
            <w:noWrap w:val="0"/>
            <w:vAlign w:val="top"/>
          </w:tcPr>
          <w:p w14:paraId="084C93F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福建省地方金融监督管理局关于修订《福建省地方金融监管从轻、减轻和不予处罚事项清单》的通知</w:t>
            </w:r>
          </w:p>
        </w:tc>
        <w:tc>
          <w:tcPr>
            <w:tcW w:w="2205" w:type="dxa"/>
            <w:tcBorders>
              <w:top w:val="nil"/>
              <w:left w:val="single" w:color="000000" w:sz="4" w:space="0"/>
              <w:bottom w:val="single" w:color="000000" w:sz="4" w:space="0"/>
              <w:right w:val="single" w:color="000000" w:sz="4" w:space="0"/>
            </w:tcBorders>
            <w:noWrap w:val="0"/>
            <w:vAlign w:val="center"/>
          </w:tcPr>
          <w:p w14:paraId="7F68147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5D5E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6E4AD3DE">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5F2039F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闽金管规〔2023〕2号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03126CA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关于印发提增民营企业融资服务质效若干措施的通知</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12B3F8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r w14:paraId="7E39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116AA8D0">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7BDE34B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闽金管规〔2023〕3号</w:t>
            </w:r>
          </w:p>
        </w:tc>
        <w:tc>
          <w:tcPr>
            <w:tcW w:w="8091" w:type="dxa"/>
            <w:tcBorders>
              <w:top w:val="single" w:color="000000" w:sz="4" w:space="0"/>
              <w:left w:val="single" w:color="000000" w:sz="4" w:space="0"/>
              <w:bottom w:val="single" w:color="000000" w:sz="4" w:space="0"/>
              <w:right w:val="single" w:color="000000" w:sz="4" w:space="0"/>
            </w:tcBorders>
            <w:noWrap w:val="0"/>
            <w:vAlign w:val="center"/>
          </w:tcPr>
          <w:p w14:paraId="38AF4BF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福建省地方金融监督管理局关于2023年行政规范性文件清理结果的通告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C8B0A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继续有效</w:t>
            </w:r>
          </w:p>
        </w:tc>
      </w:tr>
    </w:tbl>
    <w:p w14:paraId="7E64583E">
      <w:pPr>
        <w:tabs>
          <w:tab w:val="left" w:pos="515"/>
        </w:tabs>
        <w:spacing w:line="240" w:lineRule="exact"/>
        <w:rPr>
          <w:rFonts w:hint="eastAsia" w:ascii="黑体" w:hAnsi="黑体" w:eastAsia="黑体"/>
          <w:sz w:val="32"/>
          <w:szCs w:val="32"/>
        </w:rPr>
      </w:pPr>
    </w:p>
    <w:p w14:paraId="124BD3AD">
      <w:pPr>
        <w:tabs>
          <w:tab w:val="left" w:pos="515"/>
        </w:tabs>
        <w:rPr>
          <w:rFonts w:hint="eastAsia" w:ascii="黑体" w:hAnsi="黑体" w:eastAsia="黑体"/>
          <w:sz w:val="32"/>
          <w:szCs w:val="32"/>
        </w:rPr>
      </w:pPr>
    </w:p>
    <w:p w14:paraId="4B5CD2F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17F2E"/>
    <w:rsid w:val="6F917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准正文"/>
    <w:qFormat/>
    <w:uiPriority w:val="0"/>
    <w:pPr>
      <w:widowControl w:val="0"/>
      <w:spacing w:line="620" w:lineRule="exact"/>
      <w:ind w:firstLine="420" w:firstLineChars="200"/>
      <w:jc w:val="both"/>
    </w:pPr>
    <w:rPr>
      <w:rFonts w:hint="eastAsia" w:ascii="Times New Roman" w:hAnsi="Times New Roman" w:eastAsia="仿宋_GB2312" w:cs="Times New Roman"/>
      <w:kern w:val="2"/>
      <w:sz w:val="32"/>
      <w:szCs w:val="2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2025-01-08T03:11:00Z</dcterms:created>
  <dc:creator>admin001</dc:creator>
  <cp:lastModifiedBy>admin001</cp:lastModifiedBy>
  <dcterms:modified xsi:type="dcterms:W3CDTF">2025-01-08T03:12:28Z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4CC4C97BBD684B2680B6B5464A96CE3B_11</vt:lpwstr>
  </property>
  <property fmtid="{D5CDD505-2E9C-101B-9397-08002B2CF9AE}" pid="4" name="KSOTemplateDocerSaveRecord">
    <vt:lpwstr>eyJoZGlkIjoiZjFiNWZhY2I4OWEzNzM2YzdkMDRkNDk2Yzk1MzVkYzgiLCJ1c2VySWQiOiIxMjE3Nzg4ODk5In0=</vt:lpwstr>
  </property>
</Properties>
</file>