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2024年福建省防范非法集资宣传月系列宣传活动</w:t>
      </w:r>
    </w:p>
    <w:p>
      <w:pPr>
        <w:pStyle w:val="null3"/>
        <w:jc w:val="center"/>
        <w:outlineLvl w:val="2"/>
      </w:pPr>
      <w:r>
        <w:rPr>
          <w:b/>
          <w:sz w:val="28"/>
        </w:rPr>
        <w:t>备案编号：</w:t>
      </w:r>
      <w:r>
        <w:rPr>
          <w:b/>
          <w:sz w:val="28"/>
        </w:rPr>
        <w:t>CGXM-2024-350001-02040[2024]01562</w:t>
      </w:r>
    </w:p>
    <w:p>
      <w:pPr>
        <w:pStyle w:val="null3"/>
        <w:jc w:val="center"/>
        <w:outlineLvl w:val="2"/>
      </w:pPr>
      <w:r>
        <w:rPr>
          <w:b/>
          <w:sz w:val="28"/>
        </w:rPr>
        <w:t>项目编号：</w:t>
      </w:r>
      <w:r>
        <w:rPr>
          <w:b/>
          <w:sz w:val="28"/>
        </w:rPr>
        <w:t>[350001]FJXFZB[CS]2024004</w:t>
      </w:r>
    </w:p>
    <w:p>
      <w:pPr>
        <w:pStyle w:val="null3"/>
        <w:jc w:val="center"/>
        <w:outlineLvl w:val="2"/>
      </w:pPr>
      <w:r>
        <w:rPr>
          <w:b/>
          <w:sz w:val="28"/>
        </w:rPr>
        <w:t>采购人：</w:t>
      </w:r>
      <w:r>
        <w:rPr>
          <w:b/>
          <w:sz w:val="28"/>
        </w:rPr>
        <w:t>中共福建省委金融委员会办公室</w:t>
      </w:r>
    </w:p>
    <w:p>
      <w:pPr>
        <w:pStyle w:val="null3"/>
        <w:jc w:val="center"/>
        <w:outlineLvl w:val="2"/>
      </w:pPr>
      <w:r>
        <w:rPr>
          <w:b/>
          <w:sz w:val="28"/>
        </w:rPr>
        <w:t>代理机构：</w:t>
      </w:r>
      <w:r>
        <w:rPr>
          <w:b/>
          <w:sz w:val="28"/>
        </w:rPr>
        <w:t>福建信发招标代理有限公司</w:t>
      </w:r>
    </w:p>
    <w:p>
      <w:pPr>
        <w:pStyle w:val="null3"/>
        <w:jc w:val="center"/>
        <w:outlineLvl w:val="2"/>
      </w:pPr>
      <w:r>
        <w:rPr>
          <w:b/>
          <w:sz w:val="28"/>
        </w:rPr>
        <w:t>编制时间</w:t>
      </w:r>
      <w:r>
        <w:rPr>
          <w:b/>
          <w:sz w:val="28"/>
        </w:rPr>
        <w:t>：</w:t>
      </w:r>
      <w:r>
        <w:rPr>
          <w:b/>
          <w:sz w:val="28"/>
        </w:rPr>
        <w:t>2024年04月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中共福建省委金融委员会办公室</w:t>
      </w:r>
      <w:r>
        <w:rPr/>
        <w:t xml:space="preserve"> 已根据政府采购相关法律法规，经相应程序确定采用 竞争性磋商 方式组织 </w:t>
      </w:r>
      <w:r>
        <w:rPr/>
        <w:t>2024年福建省防范非法集资宣传月系列宣传活动</w:t>
      </w:r>
      <w:r>
        <w:rPr/>
        <w:t xml:space="preserve"> 项目（以下简称：“本项目”）的政府采购活动， </w:t>
      </w:r>
      <w:r>
        <w:rPr/>
        <w:t>现欢迎国内合格的供应商前来参加。</w:t>
      </w:r>
      <w:r>
        <w:rPr/>
        <w:t xml:space="preserve"> 本项目由采购人委托 </w:t>
      </w:r>
      <w:r>
        <w:rPr/>
        <w:t>福建信发招标代理有限公司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2024年福建省防范非法集资宣传月系列宣传活动</w:t>
      </w:r>
    </w:p>
    <w:p>
      <w:pPr>
        <w:pStyle w:val="null3"/>
        <w:ind w:firstLine="480"/>
        <w:jc w:val="left"/>
        <w:outlineLvl w:val="2"/>
      </w:pPr>
      <w:r>
        <w:rPr>
          <w:b/>
          <w:sz w:val="28"/>
        </w:rPr>
        <w:t>2.备案编号</w:t>
      </w:r>
      <w:r>
        <w:rPr>
          <w:b/>
          <w:sz w:val="28"/>
        </w:rPr>
        <w:t xml:space="preserve">： </w:t>
      </w:r>
      <w:r>
        <w:rPr>
          <w:b/>
          <w:sz w:val="28"/>
        </w:rPr>
        <w:t>CGXM-2024-350001-02040[2024]01562</w:t>
      </w:r>
    </w:p>
    <w:p>
      <w:pPr>
        <w:pStyle w:val="null3"/>
        <w:ind w:firstLine="480"/>
        <w:jc w:val="left"/>
        <w:outlineLvl w:val="2"/>
      </w:pPr>
      <w:r>
        <w:rPr>
          <w:b/>
          <w:sz w:val="28"/>
        </w:rPr>
        <w:t>3.项目编号</w:t>
      </w:r>
      <w:r>
        <w:rPr>
          <w:b/>
          <w:sz w:val="28"/>
        </w:rPr>
        <w:t xml:space="preserve">： </w:t>
      </w:r>
      <w:r>
        <w:rPr>
          <w:b/>
          <w:sz w:val="28"/>
        </w:rPr>
        <w:t>[350001]FJXFZB[CS]2024004</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500,000.00</w:t>
      </w:r>
    </w:p>
    <w:p>
      <w:pPr>
        <w:pStyle w:val="null3"/>
        <w:jc w:val="left"/>
      </w:pPr>
      <w:r>
        <w:rPr/>
        <w:t>采购包最高限价（元）: 500,000.00</w:t>
      </w:r>
    </w:p>
    <w:p>
      <w:pPr>
        <w:pStyle w:val="null3"/>
        <w:jc w:val="left"/>
      </w:pPr>
      <w:r>
        <w:rPr/>
        <w:t>采购包保证金金额（元）: 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防范非法集资宣传月活动系列策划及执行</w:t>
            </w:r>
          </w:p>
        </w:tc>
        <w:tc>
          <w:tcPr>
            <w:tcW w:type="dxa" w:w="1187"/>
          </w:tcPr>
          <w:p>
            <w:pPr>
              <w:pStyle w:val="null3"/>
              <w:jc w:val="right"/>
            </w:pPr>
            <w:r>
              <w:rPr/>
              <w:t>1.00</w:t>
            </w:r>
          </w:p>
        </w:tc>
        <w:tc>
          <w:tcPr>
            <w:tcW w:type="dxa" w:w="1187"/>
          </w:tcPr>
          <w:p>
            <w:pPr>
              <w:pStyle w:val="null3"/>
              <w:jc w:val="right"/>
            </w:pPr>
            <w:r>
              <w:rPr/>
              <w:t>500,000.00</w:t>
            </w:r>
          </w:p>
        </w:tc>
        <w:tc>
          <w:tcPr>
            <w:tcW w:type="dxa" w:w="1187"/>
          </w:tcPr>
          <w:p>
            <w:pPr>
              <w:pStyle w:val="null3"/>
              <w:jc w:val="left"/>
            </w:pPr>
            <w:r>
              <w:rPr/>
              <w:t>项</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w:t>
      </w:r>
    </w:p>
    <w:p>
      <w:pPr>
        <w:pStyle w:val="null3"/>
        <w:ind w:firstLine="960"/>
        <w:jc w:val="left"/>
      </w:pPr>
      <w:r>
        <w:rPr/>
        <w:t>环境标志产品：</w:t>
      </w:r>
      <w:r>
        <w:rPr/>
        <w:t>适用于本项目。</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中共福建省委金融委员会办公室</w:t>
      </w:r>
    </w:p>
    <w:p>
      <w:pPr>
        <w:pStyle w:val="null3"/>
        <w:ind w:firstLine="960"/>
        <w:jc w:val="left"/>
      </w:pPr>
      <w:r>
        <w:rPr/>
        <w:t xml:space="preserve"> 地址： </w:t>
      </w:r>
      <w:r>
        <w:rPr/>
        <w:t>福州市北大路133号12-13层</w:t>
      </w:r>
    </w:p>
    <w:p>
      <w:pPr>
        <w:pStyle w:val="null3"/>
        <w:jc w:val="left"/>
      </w:pPr>
      <w:r>
        <w:rPr/>
        <w:t xml:space="preserve"> 邮编： </w:t>
      </w:r>
      <w:r>
        <w:rPr/>
        <w:t>350001</w:t>
      </w:r>
    </w:p>
    <w:p>
      <w:pPr>
        <w:pStyle w:val="null3"/>
        <w:jc w:val="left"/>
      </w:pPr>
      <w:r>
        <w:rPr/>
        <w:t xml:space="preserve"> 联系人： </w:t>
      </w:r>
      <w:r>
        <w:rPr/>
        <w:t>林冬梅</w:t>
      </w:r>
    </w:p>
    <w:p>
      <w:pPr>
        <w:pStyle w:val="null3"/>
        <w:jc w:val="left"/>
      </w:pPr>
      <w:r>
        <w:rPr/>
        <w:t xml:space="preserve"> 联系电话： </w:t>
      </w:r>
      <w:r>
        <w:rPr/>
        <w:t>0591-87827812</w:t>
      </w:r>
    </w:p>
    <w:p>
      <w:pPr>
        <w:pStyle w:val="null3"/>
        <w:ind w:firstLine="480"/>
        <w:jc w:val="left"/>
        <w:outlineLvl w:val="2"/>
      </w:pPr>
      <w:r>
        <w:rPr>
          <w:b/>
          <w:sz w:val="28"/>
        </w:rPr>
        <w:t>14、代理机构</w:t>
      </w:r>
      <w:r>
        <w:rPr>
          <w:b/>
          <w:sz w:val="28"/>
        </w:rPr>
        <w:t>：</w:t>
      </w:r>
      <w:r>
        <w:rPr>
          <w:b/>
          <w:sz w:val="28"/>
        </w:rPr>
        <w:t>福建信发招标代理有限公司</w:t>
      </w:r>
    </w:p>
    <w:p>
      <w:pPr>
        <w:pStyle w:val="null3"/>
        <w:ind w:firstLine="960"/>
        <w:jc w:val="left"/>
      </w:pPr>
      <w:r>
        <w:rPr/>
        <w:t xml:space="preserve"> 地址： </w:t>
      </w:r>
      <w:r>
        <w:rPr/>
        <w:t>福州市鼓楼区铜盘路466-3号大自然文化创意园5号楼4层</w:t>
      </w:r>
    </w:p>
    <w:p>
      <w:pPr>
        <w:pStyle w:val="null3"/>
        <w:jc w:val="left"/>
      </w:pPr>
      <w:r>
        <w:rPr/>
        <w:t xml:space="preserve"> 邮编： </w:t>
      </w:r>
      <w:r>
        <w:rPr/>
        <w:t>350002</w:t>
      </w:r>
    </w:p>
    <w:p>
      <w:pPr>
        <w:pStyle w:val="null3"/>
        <w:jc w:val="left"/>
      </w:pPr>
      <w:r>
        <w:rPr/>
        <w:t xml:space="preserve"> 联系人： </w:t>
      </w:r>
      <w:r>
        <w:rPr/>
        <w:t>林娜、吴梦婷、苏陈红</w:t>
      </w:r>
    </w:p>
    <w:p>
      <w:pPr>
        <w:pStyle w:val="null3"/>
        <w:jc w:val="left"/>
      </w:pPr>
      <w:r>
        <w:rPr/>
        <w:t xml:space="preserve"> 联系电话： </w:t>
      </w:r>
      <w:r>
        <w:rPr/>
        <w:t>0591-88002309</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福建信发招标代理有限公司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1</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代理服务费收费标准：①本项目代理服务费3000元。 ②代理服务费缴交账号： 开户名：福建信发招标代理有限公司 开户行：福建海峡银行福州鼓楼支行， 账 号：100026211970010002</w:t>
            </w:r>
          </w:p>
          <w:p>
            <w:pPr>
              <w:pStyle w:val="null3"/>
              <w:jc w:val="left"/>
            </w:pPr>
            <w:r>
              <w:rPr/>
              <w:t xml:space="preserve"> (2)其他：</w:t>
            </w:r>
          </w:p>
          <w:p>
            <w:pPr>
              <w:pStyle w:val="null3"/>
              <w:jc w:val="left"/>
            </w:pPr>
            <w:r>
              <w:rPr/>
              <w:t>1)供应商必须对其响应文件中提供各种资料、说明的真实性负责。在评审过程中，如有发现供应商有为谋取成交而提供虚假资料欺骗采购人和磋商小组的行为，将取消其成交资格，其磋商保证金将不予退还。若在成交后和执行合同过程中发现其提供虚假资料的将取消其成交资格，给采购人造成损失的，还必须进行赔偿并负相关责任。评审过程中无论是否有对原件进行核实，供应商都必须对其提供各种资料、说明的真实性负责。 2） 供应商须保障采购人在使用该货物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3）信用记录查询及使用：3.1、信用记录查询渠道及截止时点：磋商小组将在提交响应文件截止时间截止后，通过“信用中国”网站(www.creditchina.gov.cn)、中国政府采购网(www.ccgp.gov.cn)查询供应商的信用记录。3.2信用信息查询记录和证据留存的具体方式：磋商小组将记录、打印各供应商的信用信息查询结果，与其他采购文件一并保存。3.3信用信息的使用规则：依据《财政部关于在政府采购活动中查询及使用信用记录有关问题的通知》财库〔2016〕125号规定，对被列入失信被执行人、重大税收违法案件当事人名单、政府采购严重违法失信行为记录名单的供应商，其在资格性检查中将不合格。4）接收质疑函的方式、联系部门、联系电话和通讯地址：4.1接收质疑函原件的方式：现场方式；4.2接收质疑函的联系部门：办公室；4.3接收质疑函的联系电话：0591-88002309；4.4接收质疑函的通讯地址：福州市鼓楼区铜盘路466-3号大自然文化创意园5号楼4层福建信发招标代理有限公司。5）关于“成立年限满1年及以上的供应商，提供经审计的上一年度的年度财务报告”补充说明：经审计的上一年度的年度财务报告是指经审计的2022年度或2023年度财务报告复印件。6）供应商针对竞争性磋商文件中资格证明文件“财务状况报告”若选择提供资信证明复印件的，无需提供其开户（基本存款账户）许可证复印件，若此项规定与竞争性磋商文件其他部分有矛盾的，以此项规定为准。7）供应商出现 《福建省财政厅关于电子化政府采购项目中视为串标情形认定与处理的指导意见》（闽财购〔2018〕30号）文中规定的视为串标情形的，其响应无效。8）供应商最后报价不能高于首次报价，若高于首次报价应以其首次报价为准。9）经磋商小组评审，在提交的响应文件全部满足竞争性磋商文件实质性要求的供应商不少于三家的前提下，按各合格供应商的综合得分由高到低顺序推荐三名成交候选人。</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满分为72.00分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1、服务响应情况</w:t>
            </w:r>
          </w:p>
        </w:tc>
        <w:tc>
          <w:tcPr>
            <w:tcW w:type="dxa" w:w="831"/>
          </w:tcPr>
          <w:p>
            <w:pPr>
              <w:pStyle w:val="null3"/>
              <w:jc w:val="right"/>
            </w:pPr>
            <w:r>
              <w:rPr/>
              <w:t>33.00</w:t>
            </w:r>
          </w:p>
        </w:tc>
        <w:tc>
          <w:tcPr>
            <w:tcW w:type="dxa" w:w="4153"/>
          </w:tcPr>
          <w:p>
            <w:pPr>
              <w:pStyle w:val="null3"/>
              <w:jc w:val="left"/>
            </w:pPr>
            <w:r>
              <w:rPr/>
              <w:t>根据供应商对磋商文件“第三章《采购内容及要求》”“二、技术服务要求”中各项要求的响应、承诺等情况进行评分, 完全满足磋商文件要求的得33分。（1）标注“★”的内容为实质性要求，如出现负偏离其响应无效。（2）技术服务要求（共计11项，满分33分）每负偏离一项扣3分，正偏离不加分。说明：凡标有评标指标项即为一项技术条款，无论是否隶属于上一级编号。</w:t>
            </w:r>
          </w:p>
        </w:tc>
      </w:tr>
      <w:tr>
        <w:tc>
          <w:tcPr>
            <w:tcW w:type="dxa" w:w="3322"/>
          </w:tcPr>
          <w:p>
            <w:pPr>
              <w:pStyle w:val="null3"/>
              <w:jc w:val="left"/>
            </w:pPr>
            <w:r>
              <w:rPr/>
              <w:t>2、项目背景理解</w:t>
            </w:r>
          </w:p>
        </w:tc>
        <w:tc>
          <w:tcPr>
            <w:tcW w:type="dxa" w:w="831"/>
          </w:tcPr>
          <w:p>
            <w:pPr>
              <w:pStyle w:val="null3"/>
              <w:jc w:val="right"/>
            </w:pPr>
            <w:r>
              <w:rPr/>
              <w:t>3.00</w:t>
            </w:r>
          </w:p>
        </w:tc>
        <w:tc>
          <w:tcPr>
            <w:tcW w:type="dxa" w:w="4153"/>
          </w:tcPr>
          <w:p>
            <w:pPr>
              <w:pStyle w:val="null3"/>
              <w:jc w:val="left"/>
            </w:pPr>
            <w:r>
              <w:rPr/>
              <w:t>根据供应商对项目提出背景认识的内容和深度等,由评委进行评议并打分：对本项目提出的背景理解深入、准确到位的，得3分；对本项目提出的背景理解基本准确和到位的，得2分；对本项目提出的背景理解一般、部分符合、陈述模糊的得1分；提供的内容不符合项目要求或未提供的，不得分。</w:t>
            </w:r>
          </w:p>
        </w:tc>
      </w:tr>
      <w:tr>
        <w:tc>
          <w:tcPr>
            <w:tcW w:type="dxa" w:w="3322"/>
          </w:tcPr>
          <w:p>
            <w:pPr>
              <w:pStyle w:val="null3"/>
              <w:jc w:val="left"/>
            </w:pPr>
            <w:r>
              <w:rPr/>
              <w:t>3、项目总体策划方案</w:t>
            </w:r>
          </w:p>
        </w:tc>
        <w:tc>
          <w:tcPr>
            <w:tcW w:type="dxa" w:w="831"/>
          </w:tcPr>
          <w:p>
            <w:pPr>
              <w:pStyle w:val="null3"/>
              <w:jc w:val="right"/>
            </w:pPr>
            <w:r>
              <w:rPr/>
              <w:t>3.00</w:t>
            </w:r>
          </w:p>
        </w:tc>
        <w:tc>
          <w:tcPr>
            <w:tcW w:type="dxa" w:w="4153"/>
          </w:tcPr>
          <w:p>
            <w:pPr>
              <w:pStyle w:val="null3"/>
              <w:jc w:val="left"/>
            </w:pPr>
            <w:r>
              <w:rPr/>
              <w:t>根据供应商提供的整体项目策划方案（包含但不限于①项目整体方案、②宣传方案、③服务流程等），由评委进行评议并打分：方案包含的要点齐全无缺漏项、内容与要点相符、每个要点均有展开详细的阐述且能够适用于本项目的，得3分；方案所包含的要点齐全、内容与要点相符、每个要点均有展开阐述（没有特别具体）但基本能够适用于本项目的，得2分；方案所包含的要点有缺漏、内容与要点相符但仅有纲要、内容简略，未展开详细阐述但基本能够适用于本项目的，得1分；未提供或内容存在明显错误、内容明显不适用于本项目需求的，不得分。</w:t>
            </w:r>
          </w:p>
        </w:tc>
      </w:tr>
      <w:tr>
        <w:tc>
          <w:tcPr>
            <w:tcW w:type="dxa" w:w="3322"/>
          </w:tcPr>
          <w:p>
            <w:pPr>
              <w:pStyle w:val="null3"/>
              <w:jc w:val="left"/>
            </w:pPr>
            <w:r>
              <w:rPr/>
              <w:t>4、集中宣传活动整体活动方案1</w:t>
            </w:r>
          </w:p>
        </w:tc>
        <w:tc>
          <w:tcPr>
            <w:tcW w:type="dxa" w:w="831"/>
          </w:tcPr>
          <w:p>
            <w:pPr>
              <w:pStyle w:val="null3"/>
              <w:jc w:val="right"/>
            </w:pPr>
            <w:r>
              <w:rPr/>
              <w:t>3.00</w:t>
            </w:r>
          </w:p>
        </w:tc>
        <w:tc>
          <w:tcPr>
            <w:tcW w:type="dxa" w:w="4153"/>
          </w:tcPr>
          <w:p>
            <w:pPr>
              <w:pStyle w:val="null3"/>
              <w:jc w:val="left"/>
            </w:pPr>
            <w:r>
              <w:rPr/>
              <w:t>根据供应商提供的承办整体活动方案情况（包含活动流程策划、活动场地安排、现场布置效果图），由磋商小组进行评议并打分：①整体活动方案内容完整，凸显主题，思路创新、独特、满足项目需求的，得3分；②整体活动方案内容较完整，符合主题，思路较创新、独特、能较好的满足项目需求的，得2分；③有提供整体活动方案，但不能体现主题，不够完整、创新、独特的，得1分；未提供或提供的方案与本项不符的，不得分。</w:t>
            </w:r>
          </w:p>
        </w:tc>
      </w:tr>
      <w:tr>
        <w:tc>
          <w:tcPr>
            <w:tcW w:type="dxa" w:w="3322"/>
          </w:tcPr>
          <w:p>
            <w:pPr>
              <w:pStyle w:val="null3"/>
              <w:jc w:val="left"/>
            </w:pPr>
            <w:r>
              <w:rPr/>
              <w:t>5、拟投入活动的设备情况（1.1）</w:t>
            </w:r>
          </w:p>
        </w:tc>
        <w:tc>
          <w:tcPr>
            <w:tcW w:type="dxa" w:w="831"/>
          </w:tcPr>
          <w:p>
            <w:pPr>
              <w:pStyle w:val="null3"/>
              <w:jc w:val="right"/>
            </w:pPr>
            <w:r>
              <w:rPr/>
              <w:t>3.00</w:t>
            </w:r>
          </w:p>
        </w:tc>
        <w:tc>
          <w:tcPr>
            <w:tcW w:type="dxa" w:w="4153"/>
          </w:tcPr>
          <w:p>
            <w:pPr>
              <w:pStyle w:val="null3"/>
              <w:jc w:val="left"/>
            </w:pPr>
            <w:r>
              <w:rPr/>
              <w:t>根据供应商投入活动的4K等设备情况（包含但不限于4K分辨率摄像机、镜头、轨道、灯光等，供应商需提供设备照片及设备参数说明材料），由评委进行评议并打分：设备配备齐全，能够完全满足项目需求的，得3分；设备配备较齐全，能较好地满足项目需求的，得2分；设备配备种类少，基本满足项目需求的，得1分；未提供的，不得分。</w:t>
            </w:r>
          </w:p>
        </w:tc>
      </w:tr>
      <w:tr>
        <w:tc>
          <w:tcPr>
            <w:tcW w:type="dxa" w:w="3322"/>
          </w:tcPr>
          <w:p>
            <w:pPr>
              <w:pStyle w:val="null3"/>
              <w:jc w:val="left"/>
            </w:pPr>
            <w:r>
              <w:rPr/>
              <w:t>6、礼包套装策划方案2</w:t>
            </w:r>
          </w:p>
        </w:tc>
        <w:tc>
          <w:tcPr>
            <w:tcW w:type="dxa" w:w="831"/>
          </w:tcPr>
          <w:p>
            <w:pPr>
              <w:pStyle w:val="null3"/>
              <w:jc w:val="right"/>
            </w:pPr>
            <w:r>
              <w:rPr/>
              <w:t>3.00</w:t>
            </w:r>
          </w:p>
        </w:tc>
        <w:tc>
          <w:tcPr>
            <w:tcW w:type="dxa" w:w="4153"/>
          </w:tcPr>
          <w:p>
            <w:pPr>
              <w:pStyle w:val="null3"/>
              <w:jc w:val="left"/>
            </w:pPr>
            <w:r>
              <w:rPr/>
              <w:t>根据供应商提供的整体项目策划方案（包含但不限于①项目整体策划主题、②平面物料主题、③美陈物料主题等），由评委进行评议并打分：方案包含的要点齐全无缺漏项、内容与要点相符、每个要点均有展开详细的阐述且能够适用于本项目的，得3分；方案所包含的要点齐全、内容与要点相符、每个要点均有展开阐述（没有特别具体）但基本能够适用于本项目的，得2分；方案所包含的要点有缺漏、内容与要点相符但仅有纲要、内容简略，未展开详细阐述但基本能够适用于本项目的，得1分；未提供或内容存在明显错误、内容明显不适用于本项目需求的，不得分。</w:t>
            </w:r>
          </w:p>
        </w:tc>
      </w:tr>
      <w:tr>
        <w:tc>
          <w:tcPr>
            <w:tcW w:type="dxa" w:w="3322"/>
          </w:tcPr>
          <w:p>
            <w:pPr>
              <w:pStyle w:val="null3"/>
              <w:jc w:val="left"/>
            </w:pPr>
            <w:r>
              <w:rPr/>
              <w:t>7、物料设计方案2.1</w:t>
            </w:r>
          </w:p>
        </w:tc>
        <w:tc>
          <w:tcPr>
            <w:tcW w:type="dxa" w:w="831"/>
          </w:tcPr>
          <w:p>
            <w:pPr>
              <w:pStyle w:val="null3"/>
              <w:jc w:val="right"/>
            </w:pPr>
            <w:r>
              <w:rPr/>
              <w:t>3.00</w:t>
            </w:r>
          </w:p>
        </w:tc>
        <w:tc>
          <w:tcPr>
            <w:tcW w:type="dxa" w:w="4153"/>
          </w:tcPr>
          <w:p>
            <w:pPr>
              <w:pStyle w:val="null3"/>
              <w:jc w:val="left"/>
            </w:pPr>
            <w:r>
              <w:rPr/>
              <w:t>根据供应商提供的项目物料（包含帆布手提袋、扇子、海报、三折页、背心）设计方案（包含但不限于①设计思路、②创意理念、③设计效果图等），由评委进行评议并打分：设计方案内容完整且创新、独特、满足项目需求、突出防范非法集资及中国特色金融文化元素的，得3分；设计方案内容较完整且较创新、独特、能较好的满足项目需求、防范非法集资及中国特色金融文化元素体现不够到位的，得2分；有提供设计方案，但不够完整、创新、独特且不能显示防范非法集资及中国特色金融文化元素的，得1分；未提供或提供的与本项不符的，不得分。</w:t>
            </w:r>
          </w:p>
        </w:tc>
      </w:tr>
      <w:tr>
        <w:tc>
          <w:tcPr>
            <w:tcW w:type="dxa" w:w="3322"/>
          </w:tcPr>
          <w:p>
            <w:pPr>
              <w:pStyle w:val="null3"/>
              <w:jc w:val="left"/>
            </w:pPr>
            <w:r>
              <w:rPr/>
              <w:t>8、礼包套装发放执行方案2.2</w:t>
            </w:r>
          </w:p>
        </w:tc>
        <w:tc>
          <w:tcPr>
            <w:tcW w:type="dxa" w:w="831"/>
          </w:tcPr>
          <w:p>
            <w:pPr>
              <w:pStyle w:val="null3"/>
              <w:jc w:val="right"/>
            </w:pPr>
            <w:r>
              <w:rPr/>
              <w:t>3.00</w:t>
            </w:r>
          </w:p>
        </w:tc>
        <w:tc>
          <w:tcPr>
            <w:tcW w:type="dxa" w:w="4153"/>
          </w:tcPr>
          <w:p>
            <w:pPr>
              <w:pStyle w:val="null3"/>
              <w:jc w:val="left"/>
            </w:pPr>
            <w:r>
              <w:rPr/>
              <w:t>根据供应商提供的项目礼包套装发放执行方案（包含但不限于①发放流程、②管理制度、③物料及人员安排调配等），由评委进行评议并打分：方案包含的要点齐全无缺漏项、内容与要点相符、每个要点均有展开详细的阐述且能够适用于本项目的，得3分；方案所包含的要点齐全、内容与要点相符、每个要点均有展开阐述（没有特别具体）且基本能够适用于本项目的，得2分；方案所包含的要点有缺漏、内容与要点相符但仅有纲要、内容简略，未展开详细阐述但基本能够适用于本项目的，得1分；未提供或内容存在明显错误、内容明显不适用于本项目需求的，不得分。</w:t>
            </w:r>
          </w:p>
        </w:tc>
      </w:tr>
      <w:tr>
        <w:tc>
          <w:tcPr>
            <w:tcW w:type="dxa" w:w="3322"/>
          </w:tcPr>
          <w:p>
            <w:pPr>
              <w:pStyle w:val="null3"/>
              <w:jc w:val="left"/>
            </w:pPr>
            <w:r>
              <w:rPr/>
              <w:t>9、活动进度安排方案</w:t>
            </w:r>
          </w:p>
        </w:tc>
        <w:tc>
          <w:tcPr>
            <w:tcW w:type="dxa" w:w="831"/>
          </w:tcPr>
          <w:p>
            <w:pPr>
              <w:pStyle w:val="null3"/>
              <w:jc w:val="right"/>
            </w:pPr>
            <w:r>
              <w:rPr/>
              <w:t>3.00</w:t>
            </w:r>
          </w:p>
        </w:tc>
        <w:tc>
          <w:tcPr>
            <w:tcW w:type="dxa" w:w="4153"/>
          </w:tcPr>
          <w:p>
            <w:pPr>
              <w:pStyle w:val="null3"/>
              <w:jc w:val="left"/>
            </w:pPr>
            <w:r>
              <w:rPr/>
              <w:t>根据供应商提供的进度安排方案（包含但不限于①活动计划、②周期安排），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不得分。</w:t>
            </w:r>
          </w:p>
        </w:tc>
      </w:tr>
      <w:tr>
        <w:tc>
          <w:tcPr>
            <w:tcW w:type="dxa" w:w="3322"/>
          </w:tcPr>
          <w:p>
            <w:pPr>
              <w:pStyle w:val="null3"/>
              <w:jc w:val="left"/>
            </w:pPr>
            <w:r>
              <w:rPr/>
              <w:t>10、宣传推广</w:t>
            </w:r>
          </w:p>
        </w:tc>
        <w:tc>
          <w:tcPr>
            <w:tcW w:type="dxa" w:w="831"/>
          </w:tcPr>
          <w:p>
            <w:pPr>
              <w:pStyle w:val="null3"/>
              <w:jc w:val="right"/>
            </w:pPr>
            <w:r>
              <w:rPr/>
              <w:t>3.00</w:t>
            </w:r>
          </w:p>
        </w:tc>
        <w:tc>
          <w:tcPr>
            <w:tcW w:type="dxa" w:w="4153"/>
          </w:tcPr>
          <w:p>
            <w:pPr>
              <w:pStyle w:val="null3"/>
              <w:jc w:val="left"/>
            </w:pPr>
            <w:r>
              <w:rPr/>
              <w:t>根据供应商针对本项目提供的宣传方案，由评委进行评议并打分：拥有在人民日报、央视频、学习强国等国家级宣传平台投放宣传资源能力的（需提供相关证明材料），拥有省级官方主流电视宣传平台（需提供相关证明材料），传播效果预估优异的，得3分；具有宣传资源、旗下有省级官方主流电视宣传平台，传播效果预估良好的，得2分；具有宣传资源省级官方主流电视宣传渠道有战略合作关系，传播效果预估一般的，得1分；宣传资源少、传播效果预估差的或未提供的，不得分。</w:t>
            </w:r>
          </w:p>
        </w:tc>
      </w:tr>
      <w:tr>
        <w:tc>
          <w:tcPr>
            <w:tcW w:type="dxa" w:w="3322"/>
          </w:tcPr>
          <w:p>
            <w:pPr>
              <w:pStyle w:val="null3"/>
              <w:jc w:val="left"/>
            </w:pPr>
            <w:r>
              <w:rPr/>
              <w:t>11、组织方案</w:t>
            </w:r>
          </w:p>
        </w:tc>
        <w:tc>
          <w:tcPr>
            <w:tcW w:type="dxa" w:w="831"/>
          </w:tcPr>
          <w:p>
            <w:pPr>
              <w:pStyle w:val="null3"/>
              <w:jc w:val="right"/>
            </w:pPr>
            <w:r>
              <w:rPr/>
              <w:t>3.00</w:t>
            </w:r>
          </w:p>
        </w:tc>
        <w:tc>
          <w:tcPr>
            <w:tcW w:type="dxa" w:w="4153"/>
          </w:tcPr>
          <w:p>
            <w:pPr>
              <w:pStyle w:val="null3"/>
              <w:jc w:val="left"/>
            </w:pPr>
            <w:r>
              <w:rPr/>
              <w:t>根据供应商提供的项目组织服务方案（包含但不限于①项目的组织协调、②人员安排、③物资保障等），由评委进行评议并打分：方案包含的要点齐全无缺漏项、内容与要点相符、每个要点均有展开详细的阐述且能够适用于本项目的，得3分；方案所包含的要点齐全、内容与要点相符、每个要点均有展开阐述（没有特别具体）但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left"/>
            </w:pPr>
            <w:r>
              <w:rPr/>
              <w:t>12、包装能力</w:t>
            </w:r>
          </w:p>
        </w:tc>
        <w:tc>
          <w:tcPr>
            <w:tcW w:type="dxa" w:w="831"/>
          </w:tcPr>
          <w:p>
            <w:pPr>
              <w:pStyle w:val="null3"/>
              <w:jc w:val="right"/>
            </w:pPr>
            <w:r>
              <w:rPr/>
              <w:t>3.00</w:t>
            </w:r>
          </w:p>
        </w:tc>
        <w:tc>
          <w:tcPr>
            <w:tcW w:type="dxa" w:w="4153"/>
          </w:tcPr>
          <w:p>
            <w:pPr>
              <w:pStyle w:val="null3"/>
              <w:jc w:val="left"/>
            </w:pPr>
            <w:r>
              <w:rPr/>
              <w:t>供应商运营团队具有新媒体产品制作能力，制作的短视频、H5、海报等新媒体产品在省级媒体、政府及以上单位的新媒体平台展播的，每提供一份得1分，满分3分。需提供该网站、平台刊播的截图（截图需能体现制作单位为供应商并或由平台主体单位提供制作单位为供应商的证明材料加盖公章注明网址）。</w:t>
            </w:r>
          </w:p>
        </w:tc>
      </w:tr>
      <w:tr>
        <w:tc>
          <w:tcPr>
            <w:tcW w:type="dxa" w:w="3322"/>
          </w:tcPr>
          <w:p>
            <w:pPr>
              <w:pStyle w:val="null3"/>
              <w:jc w:val="left"/>
            </w:pPr>
            <w:r>
              <w:rPr/>
              <w:t>13、应急预案</w:t>
            </w:r>
          </w:p>
        </w:tc>
        <w:tc>
          <w:tcPr>
            <w:tcW w:type="dxa" w:w="831"/>
          </w:tcPr>
          <w:p>
            <w:pPr>
              <w:pStyle w:val="null3"/>
              <w:jc w:val="right"/>
            </w:pPr>
            <w:r>
              <w:rPr/>
              <w:t>3.00</w:t>
            </w:r>
          </w:p>
        </w:tc>
        <w:tc>
          <w:tcPr>
            <w:tcW w:type="dxa" w:w="4153"/>
          </w:tcPr>
          <w:p>
            <w:pPr>
              <w:pStyle w:val="null3"/>
              <w:jc w:val="left"/>
            </w:pPr>
            <w:r>
              <w:rPr/>
              <w:t>根据供应商提供针对本项目的制定的应急预案（包含但不限于①恶劣天气情况、②现场其他突发事件、③临时紧急问题处理流程等），由评委进行评议并打分：方案包含的要点齐全无缺漏项、内容与要点相符、每个要点均有展开详细的阐述且能够适用于本项目的，得3分；方案所包含的要点齐全、内容与要点相符、每个要点均有展开阐述（没有特别具体）但基本能够适用于本项目的，得2分；方案所包含的要点有缺漏、内容与要点相符但仅有纲要、内容简略，未展开详细阐述但基本能够适用于本项目的，得1分；未提供或内容存在明显错误、内容明显不适用于本项目需求的，不得分。</w:t>
            </w:r>
          </w:p>
        </w:tc>
      </w:tr>
      <w:tr>
        <w:tc>
          <w:tcPr>
            <w:tcW w:type="dxa" w:w="3322"/>
          </w:tcPr>
          <w:p>
            <w:pPr>
              <w:pStyle w:val="null3"/>
              <w:jc w:val="left"/>
            </w:pPr>
            <w:r>
              <w:rPr/>
              <w:t>14、增值服务</w:t>
            </w:r>
          </w:p>
        </w:tc>
        <w:tc>
          <w:tcPr>
            <w:tcW w:type="dxa" w:w="831"/>
          </w:tcPr>
          <w:p>
            <w:pPr>
              <w:pStyle w:val="null3"/>
              <w:jc w:val="right"/>
            </w:pPr>
            <w:r>
              <w:rPr/>
              <w:t>3.00</w:t>
            </w:r>
          </w:p>
        </w:tc>
        <w:tc>
          <w:tcPr>
            <w:tcW w:type="dxa" w:w="4153"/>
          </w:tcPr>
          <w:p>
            <w:pPr>
              <w:pStyle w:val="null3"/>
              <w:jc w:val="left"/>
            </w:pPr>
            <w:r>
              <w:rPr/>
              <w:t>根据供应商针对本项目提供的增值服务情况，由评委进行评议并打分：提供的增值服务合理、实用有针对性、可操作性强的，得3分；增值服务合理，实用性、可操作性一般的，得2分；提供增值服务一般，实用性、可操作性一般的，得1分，提供增值服务不符合项目要求或未提供的，不得分。</w:t>
            </w:r>
          </w:p>
        </w:tc>
      </w:tr>
    </w:tbl>
    <w:p>
      <w:pPr>
        <w:pStyle w:val="null3"/>
        <w:jc w:val="left"/>
      </w:pPr>
      <w:r>
        <w:rPr/>
        <w:t>商务部分评分PB 满分为18.00分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1、业绩情况</w:t>
            </w:r>
          </w:p>
        </w:tc>
        <w:tc>
          <w:tcPr>
            <w:tcW w:type="dxa" w:w="831"/>
          </w:tcPr>
          <w:p>
            <w:pPr>
              <w:pStyle w:val="null3"/>
              <w:jc w:val="right"/>
            </w:pPr>
            <w:r>
              <w:rPr/>
              <w:t>3.00</w:t>
            </w:r>
          </w:p>
        </w:tc>
        <w:tc>
          <w:tcPr>
            <w:tcW w:type="dxa" w:w="4153"/>
          </w:tcPr>
          <w:p>
            <w:pPr>
              <w:pStyle w:val="null3"/>
              <w:jc w:val="left"/>
            </w:pPr>
            <w:r>
              <w:rPr/>
              <w:t>根据投标人提供2021年1月1日起至本项目投标截止日期（日期以合同签订日期为准），由投标人自身承接同类型服务项目的业绩情况进行评分。每提供一份业绩证明材料得1分，满分3分。注：投标人须提供有效业绩，有效业绩指：①投标人应提供对应业绩项目的中标（或成交）公告（提供相关网站的下载网页并注明网址）、②中标通知书复印件、③采购合同文本复印件、④能够证明该业绩项目已经采购人验收合格（或业绩合同甲方出具的合格、满意及以上评价意见）并加盖采购人公章的相关证明文件复印件。【注：未同时提供以上证明材料的该业绩不予计分】</w:t>
            </w:r>
          </w:p>
        </w:tc>
      </w:tr>
      <w:tr>
        <w:tc>
          <w:tcPr>
            <w:tcW w:type="dxa" w:w="3322"/>
          </w:tcPr>
          <w:p>
            <w:pPr>
              <w:pStyle w:val="null3"/>
              <w:jc w:val="left"/>
            </w:pPr>
            <w:r>
              <w:rPr/>
              <w:t>2、团队配置1</w:t>
            </w:r>
          </w:p>
        </w:tc>
        <w:tc>
          <w:tcPr>
            <w:tcW w:type="dxa" w:w="831"/>
          </w:tcPr>
          <w:p>
            <w:pPr>
              <w:pStyle w:val="null3"/>
              <w:jc w:val="right"/>
            </w:pPr>
            <w:r>
              <w:rPr/>
              <w:t>3.00</w:t>
            </w:r>
          </w:p>
        </w:tc>
        <w:tc>
          <w:tcPr>
            <w:tcW w:type="dxa" w:w="4153"/>
          </w:tcPr>
          <w:p>
            <w:pPr>
              <w:pStyle w:val="null3"/>
              <w:jc w:val="left"/>
            </w:pPr>
            <w:r>
              <w:rPr/>
              <w:t>根据供应商拟为本项目配备的岗位、人数、职责分工及所配备的人员经验情况，由磋商小组进行评议并打分：①配备的岗位、人数周全，职责分工明确，人员经验丰富的，得3分；②配备的岗位、人数较周全，职责分工较明确，人员经验较丰富的，得2分；③配备的岗位、人数有够周全，职责分工不明确，人员经验不够丰富的，得1分；未提供的，不得分。</w:t>
            </w:r>
          </w:p>
        </w:tc>
      </w:tr>
      <w:tr>
        <w:tc>
          <w:tcPr>
            <w:tcW w:type="dxa" w:w="3322"/>
          </w:tcPr>
          <w:p>
            <w:pPr>
              <w:pStyle w:val="null3"/>
              <w:jc w:val="left"/>
            </w:pPr>
            <w:r>
              <w:rPr/>
              <w:t>3、团队配置2</w:t>
            </w:r>
          </w:p>
        </w:tc>
        <w:tc>
          <w:tcPr>
            <w:tcW w:type="dxa" w:w="831"/>
          </w:tcPr>
          <w:p>
            <w:pPr>
              <w:pStyle w:val="null3"/>
              <w:jc w:val="right"/>
            </w:pPr>
            <w:r>
              <w:rPr/>
              <w:t>3.00</w:t>
            </w:r>
          </w:p>
        </w:tc>
        <w:tc>
          <w:tcPr>
            <w:tcW w:type="dxa" w:w="4153"/>
          </w:tcPr>
          <w:p>
            <w:pPr>
              <w:pStyle w:val="null3"/>
              <w:jc w:val="left"/>
            </w:pPr>
            <w:r>
              <w:rPr/>
              <w:t>根据供应商针对本项目拟派一名具有宣传推广工作经验的管理人员得3分。注：须提供完整的证明材料,应包括：身份证复印件、与供应商签订的劳动合同、提供响应截止前六个月（不含响应截止时间当月）中任意一个月的社保缴交证明材料及宣传推广工作经验的证明材料，未提供的或提供不全的不得分。（此评分项中的人员与“团队配置3”中的人员不能重复评分。）</w:t>
            </w:r>
          </w:p>
        </w:tc>
      </w:tr>
      <w:tr>
        <w:tc>
          <w:tcPr>
            <w:tcW w:type="dxa" w:w="3322"/>
          </w:tcPr>
          <w:p>
            <w:pPr>
              <w:pStyle w:val="null3"/>
              <w:jc w:val="left"/>
            </w:pPr>
            <w:r>
              <w:rPr/>
              <w:t>4、团队配置3</w:t>
            </w:r>
          </w:p>
        </w:tc>
        <w:tc>
          <w:tcPr>
            <w:tcW w:type="dxa" w:w="831"/>
          </w:tcPr>
          <w:p>
            <w:pPr>
              <w:pStyle w:val="null3"/>
              <w:jc w:val="right"/>
            </w:pPr>
            <w:r>
              <w:rPr/>
              <w:t>3.00</w:t>
            </w:r>
          </w:p>
        </w:tc>
        <w:tc>
          <w:tcPr>
            <w:tcW w:type="dxa" w:w="4153"/>
          </w:tcPr>
          <w:p>
            <w:pPr>
              <w:pStyle w:val="null3"/>
              <w:jc w:val="left"/>
            </w:pPr>
            <w:r>
              <w:rPr/>
              <w:t>根据供应商针对本项目提供的设计人员进行评分:具有与本项目相关从业经验的，每提供一名得1分，满分3分。须提供人员身份证复印件、相关从业经验的证明材料(证明材料须体现人员姓名)及提供响应截止前六个月（不含响应截止时间当月）中任意一个月的社保缴交证明材料，未提供的或提供不全的不得分。（此评分项中的人员与“团队配置2”中的人员不能重复评分。）</w:t>
            </w:r>
          </w:p>
        </w:tc>
      </w:tr>
      <w:tr>
        <w:tc>
          <w:tcPr>
            <w:tcW w:type="dxa" w:w="3322"/>
          </w:tcPr>
          <w:p>
            <w:pPr>
              <w:pStyle w:val="null3"/>
              <w:jc w:val="left"/>
            </w:pPr>
            <w:r>
              <w:rPr/>
              <w:t>5、综合实力</w:t>
            </w:r>
          </w:p>
        </w:tc>
        <w:tc>
          <w:tcPr>
            <w:tcW w:type="dxa" w:w="831"/>
          </w:tcPr>
          <w:p>
            <w:pPr>
              <w:pStyle w:val="null3"/>
              <w:jc w:val="right"/>
            </w:pPr>
            <w:r>
              <w:rPr/>
              <w:t>3.00</w:t>
            </w:r>
          </w:p>
        </w:tc>
        <w:tc>
          <w:tcPr>
            <w:tcW w:type="dxa" w:w="4153"/>
          </w:tcPr>
          <w:p>
            <w:pPr>
              <w:pStyle w:val="null3"/>
              <w:jc w:val="left"/>
            </w:pPr>
            <w:r>
              <w:rPr/>
              <w:t>根据供应商提供的设计团队或主创获奖情况评议：获得省级及以上设计类奖项作品，每提供一份得1分，满分3分。须提供获奖证书复印件，未提供不得分。</w:t>
            </w:r>
          </w:p>
        </w:tc>
      </w:tr>
      <w:tr>
        <w:tc>
          <w:tcPr>
            <w:tcW w:type="dxa" w:w="3322"/>
          </w:tcPr>
          <w:p>
            <w:pPr>
              <w:pStyle w:val="null3"/>
              <w:jc w:val="left"/>
            </w:pPr>
            <w:r>
              <w:rPr/>
              <w:t>6、售后服务方案</w:t>
            </w:r>
          </w:p>
        </w:tc>
        <w:tc>
          <w:tcPr>
            <w:tcW w:type="dxa" w:w="831"/>
          </w:tcPr>
          <w:p>
            <w:pPr>
              <w:pStyle w:val="null3"/>
              <w:jc w:val="right"/>
            </w:pPr>
            <w:r>
              <w:rPr/>
              <w:t>3.00</w:t>
            </w:r>
          </w:p>
        </w:tc>
        <w:tc>
          <w:tcPr>
            <w:tcW w:type="dxa" w:w="4153"/>
          </w:tcPr>
          <w:p>
            <w:pPr>
              <w:pStyle w:val="null3"/>
              <w:jc w:val="left"/>
            </w:pPr>
            <w:r>
              <w:rPr/>
              <w:t>根据供应商提供的售后服务方案情况，由评委进行评议并打分：针对本项目提供具体的实施方案包括全时段的项目跟踪、信息反馈准备、定期或不定期的复盘，方案包含的要点齐全无缺漏项、内容与要点相符、每个要点均有展开详细的阐述且能够适用于本项目的，得3分；方案所包含的要点齐全、内容与要点相符、每个要点均有展开阐述（没有特别具体）但基本能够适用于本项目的，得2分；方案所包含的要点有缺漏、内容与要点相符但仅有纲要、内容简略，未展开详细阐述但基本能够适用于本项目的，得1分；未提供或内容存在明显错误、内容明显不适用于本项目需求的，不得分。</w:t>
            </w:r>
          </w:p>
        </w:tc>
      </w:tr>
    </w:tbl>
    <w:p>
      <w:pPr>
        <w:pStyle w:val="null3"/>
        <w:jc w:val="left"/>
      </w:pPr>
      <w:r>
        <w:rPr/>
        <w:t>根据政府采购政策可享有的加分优惠评分PE</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节能、环境标志产品</w:t>
            </w:r>
          </w:p>
        </w:tc>
        <w:tc>
          <w:tcPr>
            <w:tcW w:type="dxa" w:w="831"/>
          </w:tcPr>
          <w:p>
            <w:pPr>
              <w:pStyle w:val="null3"/>
              <w:jc w:val="right"/>
            </w:pPr>
            <w:r>
              <w:rPr/>
              <w:t>6.56</w:t>
            </w:r>
          </w:p>
        </w:tc>
        <w:tc>
          <w:tcPr>
            <w:tcW w:type="dxa" w:w="4153"/>
          </w:tcPr>
          <w:p>
            <w:pPr>
              <w:pStyle w:val="null3"/>
              <w:jc w:val="left"/>
            </w:pPr>
            <w:r>
              <w:rPr/>
              <w:t>1、根据财政部 发展改革委 生态环境部 市场监管总局印发《关于调整优化节能产品、环境标志产品政府采购执行机制的通知》(财库〔2019〕9号)的规定。依据国家确定的认证机构出具的、处于有效期之内的节能产品、环境标志产品认证证书，对获得证书的产品实施政府优先采购或强制采购。2、节能产品政府采购品目清单中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若节能产品政府采购品目清单有相应变更，以变更的为准），本次采购货物中如属政府强制采购节能产品的，投标人须提供国家确定的认证机构出具的、处于有效期之内的节能产品认证证书复印件，否则视为投标无效；3、节能、减排、环境标志产品评审优惠内容及幅度（属于国家强制节能的产品本项不再予以优惠）：同一采购包内的节能（非强制类产品）、减排、环境志产品报价总金额占本采购包报价总金额 20%（含20%）以下给予价格评标项标准总分值4%的加分，技术评标项标准总分值4%的加分；占本采购包报价总金额20%-50%（含50%）给予价格评标项标准总分值6%的加分，技术评标项标准总分值6%的加分；占本采购包报价总金额50%以上给予价格评标项标准总分值8%的加分，技术评标项标准总分值8%的加分。4、投标人在投标时必须对属于节能、环境标志产品单独在节能(非强制类产品)、环境标志产品统计表中填写，并提供产品的证明资料（国家确定的认证机构出具的、处于有效期之内的节能产品、环境标志产品认证证书复印件）附在报价部分(电子证明资料应上传在对应评分模块)且加盖投标人公章。未单独分项报价或未按规定提供产品的证明资料的不给予加分。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技术部分“★”标示的内容存在负偏离的，按无效响应处理。</w:t>
            </w:r>
          </w:p>
        </w:tc>
      </w:tr>
      <w:tr>
        <w:tc>
          <w:tcPr>
            <w:tcW w:type="dxa" w:w="4153"/>
          </w:tcPr>
          <w:p>
            <w:pPr>
              <w:pStyle w:val="null3"/>
              <w:jc w:val="left"/>
            </w:pPr>
            <w:r>
              <w:rPr/>
              <w:t>其他情形</w:t>
            </w:r>
          </w:p>
        </w:tc>
        <w:tc>
          <w:tcPr>
            <w:tcW w:type="dxa" w:w="4153"/>
          </w:tcPr>
          <w:p>
            <w:pPr>
              <w:pStyle w:val="null3"/>
              <w:jc w:val="left"/>
            </w:pPr>
            <w:r>
              <w:rPr/>
              <w:t>违反竞争性磋商文件中载明“响应无效”条款的规定的，按无效响应处理。</w:t>
            </w:r>
          </w:p>
        </w:tc>
      </w:tr>
      <w:tr>
        <w:tc>
          <w:tcPr>
            <w:tcW w:type="dxa" w:w="4153"/>
          </w:tcPr>
          <w:p>
            <w:pPr>
              <w:pStyle w:val="null3"/>
              <w:jc w:val="left"/>
            </w:pPr>
            <w:r>
              <w:rPr/>
              <w:t>其他情形</w:t>
            </w:r>
          </w:p>
        </w:tc>
        <w:tc>
          <w:tcPr>
            <w:tcW w:type="dxa" w:w="4153"/>
          </w:tcPr>
          <w:p>
            <w:pPr>
              <w:pStyle w:val="null3"/>
              <w:jc w:val="left"/>
            </w:pPr>
            <w:r>
              <w:rPr/>
              <w:t>出现属于竞争性磋商文件规定磋商小组应否决其响应情形的，按无效响应处理。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供应商未在竞争性磋商文件中完全响应竞争性磋商文件第三章采购内容及要求中第“三、商务条件”全部条款的，按无效响应处理。</w:t>
            </w:r>
          </w:p>
        </w:tc>
      </w:tr>
      <w:tr>
        <w:tc>
          <w:tcPr>
            <w:tcW w:type="dxa" w:w="4153"/>
          </w:tcPr>
          <w:p>
            <w:pPr>
              <w:pStyle w:val="null3"/>
              <w:jc w:val="left"/>
            </w:pPr>
            <w:r>
              <w:rPr/>
              <w:t>其他情形</w:t>
            </w:r>
          </w:p>
        </w:tc>
        <w:tc>
          <w:tcPr>
            <w:tcW w:type="dxa" w:w="4153"/>
          </w:tcPr>
          <w:p>
            <w:pPr>
              <w:pStyle w:val="null3"/>
              <w:jc w:val="left"/>
            </w:pPr>
            <w:r>
              <w:rPr/>
              <w:t>违反竞争性磋商文件中载明“响应无效”条款的规定的，按无效响应处理。</w:t>
            </w:r>
          </w:p>
        </w:tc>
      </w:tr>
      <w:tr>
        <w:tc>
          <w:tcPr>
            <w:tcW w:type="dxa" w:w="4153"/>
          </w:tcPr>
          <w:p>
            <w:pPr>
              <w:pStyle w:val="null3"/>
              <w:jc w:val="left"/>
            </w:pPr>
            <w:r>
              <w:rPr/>
              <w:t>其他情形</w:t>
            </w:r>
          </w:p>
        </w:tc>
        <w:tc>
          <w:tcPr>
            <w:tcW w:type="dxa" w:w="4153"/>
          </w:tcPr>
          <w:p>
            <w:pPr>
              <w:pStyle w:val="null3"/>
              <w:jc w:val="left"/>
            </w:pPr>
            <w:r>
              <w:rPr/>
              <w:t>出现属于竞争性磋商文件规定磋商小组应否决其响应情形的，按无效响应处理。</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sz w:val="24"/>
        </w:rPr>
        <w:t>1、</w:t>
      </w:r>
      <w:r>
        <w:rPr>
          <w:rFonts w:ascii="宋体" w:hAnsi="宋体" w:cs="宋体" w:eastAsia="宋体"/>
          <w:sz w:val="24"/>
        </w:rPr>
        <w:t>本项目为中共福建省委金融委员会办公室</w:t>
      </w:r>
      <w:r>
        <w:rPr>
          <w:rFonts w:ascii="宋体" w:hAnsi="宋体" w:cs="宋体" w:eastAsia="宋体"/>
          <w:sz w:val="24"/>
        </w:rPr>
        <w:t>2024年福建省防范非法集资宣传月系列宣传活动项目。</w:t>
      </w:r>
    </w:p>
    <w:p>
      <w:pPr>
        <w:pStyle w:val="null3"/>
        <w:jc w:val="left"/>
      </w:pPr>
      <w:r>
        <w:rPr>
          <w:rFonts w:ascii="宋体" w:hAnsi="宋体" w:cs="宋体" w:eastAsia="宋体"/>
          <w:sz w:val="24"/>
        </w:rPr>
        <w:t>2、</w:t>
      </w:r>
      <w:r>
        <w:rPr>
          <w:rFonts w:ascii="宋体" w:hAnsi="宋体" w:cs="宋体" w:eastAsia="宋体"/>
          <w:sz w:val="24"/>
        </w:rPr>
        <w:t>服务清单：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96"/>
        <w:gridCol w:w="3160"/>
        <w:gridCol w:w="2954"/>
        <w:gridCol w:w="1425"/>
        <w:gridCol w:w="1925"/>
      </w:tblGrid>
      <w:tr>
        <w:tc>
          <w:tcPr>
            <w:tcW w:type="dxa" w:w="89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序号</w:t>
            </w:r>
          </w:p>
        </w:tc>
        <w:tc>
          <w:tcPr>
            <w:tcW w:type="dxa" w:w="316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服务内容</w:t>
            </w:r>
          </w:p>
        </w:tc>
        <w:tc>
          <w:tcPr>
            <w:tcW w:type="dxa" w:w="29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细项内容</w:t>
            </w:r>
          </w:p>
        </w:tc>
        <w:tc>
          <w:tcPr>
            <w:tcW w:type="dxa" w:w="14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数量</w:t>
            </w:r>
          </w:p>
        </w:tc>
        <w:tc>
          <w:tcPr>
            <w:tcW w:type="dxa" w:w="19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预算单价</w:t>
            </w:r>
          </w:p>
        </w:tc>
      </w:tr>
      <w:tr>
        <w:tc>
          <w:tcPr>
            <w:tcW w:type="dxa" w:w="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举办防范非法集资宣传月集中宣传活动</w:t>
            </w:r>
          </w:p>
        </w:tc>
        <w:tc>
          <w:tcPr>
            <w:tcW w:type="dxa" w:w="2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举办防范非法集资宣传月集中宣传活动</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1项</w:t>
            </w:r>
          </w:p>
        </w:tc>
        <w:tc>
          <w:tcPr>
            <w:tcW w:type="dxa" w:w="1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16万元</w:t>
            </w:r>
          </w:p>
        </w:tc>
      </w:tr>
      <w:tr>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打造金融防非宣传矩阵</w:t>
            </w: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帆布手提袋</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30000个</w:t>
            </w:r>
          </w:p>
        </w:tc>
        <w:tc>
          <w:tcPr>
            <w:tcW w:type="dxa" w:w="19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30万元</w:t>
            </w:r>
          </w:p>
        </w:tc>
      </w:tr>
      <w:tr>
        <w:tc>
          <w:tcPr>
            <w:tcW w:type="dxa" w:w="896"/>
            <w:vMerge/>
            <w:tcBorders>
              <w:top w:val="none" w:color="000000" w:sz="4"/>
              <w:left w:val="single" w:color="000000" w:sz="4"/>
              <w:bottom w:val="single" w:color="000000" w:sz="4"/>
              <w:right w:val="single" w:color="000000" w:sz="4"/>
            </w:tcBorders>
          </w:tcPr>
          <w:p/>
        </w:tc>
        <w:tc>
          <w:tcPr>
            <w:tcW w:type="dxa" w:w="3160"/>
            <w:vMerge/>
            <w:tcBorders>
              <w:top w:val="none" w:color="000000" w:sz="4"/>
              <w:left w:val="none" w:color="000000" w:sz="4"/>
              <w:bottom w:val="single" w:color="000000" w:sz="4"/>
              <w:right w:val="single" w:color="000000" w:sz="4"/>
            </w:tcBorders>
          </w:tcP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扇子</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30000把</w:t>
            </w:r>
          </w:p>
        </w:tc>
        <w:tc>
          <w:tcPr>
            <w:tcW w:type="dxa" w:w="1925"/>
            <w:vMerge/>
            <w:tcBorders>
              <w:top w:val="none" w:color="000000" w:sz="4"/>
              <w:left w:val="none" w:color="000000" w:sz="4"/>
              <w:bottom w:val="single" w:color="000000" w:sz="4"/>
              <w:right w:val="single" w:color="000000" w:sz="4"/>
            </w:tcBorders>
          </w:tcPr>
          <w:p/>
        </w:tc>
      </w:tr>
      <w:tr>
        <w:tc>
          <w:tcPr>
            <w:tcW w:type="dxa" w:w="896"/>
            <w:vMerge/>
            <w:tcBorders>
              <w:top w:val="none" w:color="000000" w:sz="4"/>
              <w:left w:val="single" w:color="000000" w:sz="4"/>
              <w:bottom w:val="single" w:color="000000" w:sz="4"/>
              <w:right w:val="single" w:color="000000" w:sz="4"/>
            </w:tcBorders>
          </w:tcPr>
          <w:p/>
        </w:tc>
        <w:tc>
          <w:tcPr>
            <w:tcW w:type="dxa" w:w="3160"/>
            <w:vMerge/>
            <w:tcBorders>
              <w:top w:val="none" w:color="000000" w:sz="4"/>
              <w:left w:val="none" w:color="000000" w:sz="4"/>
              <w:bottom w:val="single" w:color="000000" w:sz="4"/>
              <w:right w:val="single" w:color="000000" w:sz="4"/>
            </w:tcBorders>
          </w:tcP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三折页</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30000张</w:t>
            </w:r>
          </w:p>
        </w:tc>
        <w:tc>
          <w:tcPr>
            <w:tcW w:type="dxa" w:w="1925"/>
            <w:vMerge/>
            <w:tcBorders>
              <w:top w:val="none" w:color="000000" w:sz="4"/>
              <w:left w:val="none" w:color="000000" w:sz="4"/>
              <w:bottom w:val="single" w:color="000000" w:sz="4"/>
              <w:right w:val="single" w:color="000000" w:sz="4"/>
            </w:tcBorders>
          </w:tcPr>
          <w:p/>
        </w:tc>
      </w:tr>
      <w:tr>
        <w:tc>
          <w:tcPr>
            <w:tcW w:type="dxa" w:w="896"/>
            <w:vMerge/>
            <w:tcBorders>
              <w:top w:val="none" w:color="000000" w:sz="4"/>
              <w:left w:val="single" w:color="000000" w:sz="4"/>
              <w:bottom w:val="single" w:color="000000" w:sz="4"/>
              <w:right w:val="single" w:color="000000" w:sz="4"/>
            </w:tcBorders>
          </w:tcPr>
          <w:p/>
        </w:tc>
        <w:tc>
          <w:tcPr>
            <w:tcW w:type="dxa" w:w="3160"/>
            <w:vMerge/>
            <w:tcBorders>
              <w:top w:val="none" w:color="000000" w:sz="4"/>
              <w:left w:val="none" w:color="000000" w:sz="4"/>
              <w:bottom w:val="single" w:color="000000" w:sz="4"/>
              <w:right w:val="single" w:color="000000" w:sz="4"/>
            </w:tcBorders>
          </w:tcP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海报</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1000个</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0.7万元</w:t>
            </w:r>
          </w:p>
        </w:tc>
      </w:tr>
      <w:tr>
        <w:tc>
          <w:tcPr>
            <w:tcW w:type="dxa" w:w="896"/>
            <w:vMerge/>
            <w:tcBorders>
              <w:top w:val="none" w:color="000000" w:sz="4"/>
              <w:left w:val="single" w:color="000000" w:sz="4"/>
              <w:bottom w:val="single" w:color="000000" w:sz="4"/>
              <w:right w:val="single" w:color="000000" w:sz="4"/>
            </w:tcBorders>
          </w:tcPr>
          <w:p/>
        </w:tc>
        <w:tc>
          <w:tcPr>
            <w:tcW w:type="dxa" w:w="3160"/>
            <w:vMerge/>
            <w:tcBorders>
              <w:top w:val="none" w:color="000000" w:sz="4"/>
              <w:left w:val="none" w:color="000000" w:sz="4"/>
              <w:bottom w:val="single" w:color="000000" w:sz="4"/>
              <w:right w:val="single" w:color="000000" w:sz="4"/>
            </w:tcBorders>
          </w:tcP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背心</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50件</w:t>
            </w:r>
          </w:p>
        </w:tc>
        <w:tc>
          <w:tcPr>
            <w:tcW w:type="dxa" w:w="19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0.3万元</w:t>
            </w:r>
          </w:p>
        </w:tc>
      </w:tr>
      <w:tr>
        <w:tc>
          <w:tcPr>
            <w:tcW w:type="dxa" w:w="896"/>
            <w:vMerge/>
            <w:tcBorders>
              <w:top w:val="none" w:color="000000" w:sz="4"/>
              <w:left w:val="single" w:color="000000" w:sz="4"/>
              <w:bottom w:val="single" w:color="000000" w:sz="4"/>
              <w:right w:val="single" w:color="000000" w:sz="4"/>
            </w:tcBorders>
          </w:tcPr>
          <w:p/>
        </w:tc>
        <w:tc>
          <w:tcPr>
            <w:tcW w:type="dxa" w:w="3160"/>
            <w:vMerge/>
            <w:tcBorders>
              <w:top w:val="none" w:color="000000" w:sz="4"/>
              <w:left w:val="none" w:color="000000" w:sz="4"/>
              <w:bottom w:val="single" w:color="000000" w:sz="4"/>
              <w:right w:val="single" w:color="000000" w:sz="4"/>
            </w:tcBorders>
          </w:tcP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旗帜</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10面</w:t>
            </w:r>
          </w:p>
        </w:tc>
        <w:tc>
          <w:tcPr>
            <w:tcW w:type="dxa" w:w="1925"/>
            <w:vMerge/>
            <w:tcBorders>
              <w:top w:val="none" w:color="000000" w:sz="4"/>
              <w:left w:val="none" w:color="000000" w:sz="4"/>
              <w:bottom w:val="single" w:color="000000" w:sz="4"/>
              <w:right w:val="single" w:color="000000" w:sz="4"/>
            </w:tcBorders>
          </w:tcPr>
          <w:p/>
        </w:tc>
      </w:tr>
      <w:tr>
        <w:tc>
          <w:tcPr>
            <w:tcW w:type="dxa" w:w="896"/>
            <w:vMerge/>
            <w:tcBorders>
              <w:top w:val="none" w:color="000000" w:sz="4"/>
              <w:left w:val="single" w:color="000000" w:sz="4"/>
              <w:bottom w:val="single" w:color="000000" w:sz="4"/>
              <w:right w:val="single" w:color="000000" w:sz="4"/>
            </w:tcBorders>
          </w:tcPr>
          <w:p/>
        </w:tc>
        <w:tc>
          <w:tcPr>
            <w:tcW w:type="dxa" w:w="3160"/>
            <w:vMerge/>
            <w:tcBorders>
              <w:top w:val="none" w:color="000000" w:sz="4"/>
              <w:left w:val="none" w:color="000000" w:sz="4"/>
              <w:bottom w:val="single" w:color="000000" w:sz="4"/>
              <w:right w:val="single" w:color="000000" w:sz="4"/>
            </w:tcBorders>
          </w:tcP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授带</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10件</w:t>
            </w:r>
          </w:p>
        </w:tc>
        <w:tc>
          <w:tcPr>
            <w:tcW w:type="dxa" w:w="1925"/>
            <w:vMerge/>
            <w:tcBorders>
              <w:top w:val="none" w:color="000000" w:sz="4"/>
              <w:left w:val="none" w:color="000000" w:sz="4"/>
              <w:bottom w:val="single" w:color="000000" w:sz="4"/>
              <w:right w:val="single" w:color="000000" w:sz="4"/>
            </w:tcBorders>
          </w:tcP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“沉浸式防非”有奖游戏推广</w:t>
            </w:r>
          </w:p>
        </w:tc>
        <w:tc>
          <w:tcPr>
            <w:tcW w:type="dxa" w:w="2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“沉浸式防非”有奖游戏推广</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1项</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技术服务</w:t>
            </w:r>
            <w:r>
              <w:rPr>
                <w:rFonts w:ascii="宋体" w:hAnsi="宋体" w:cs="宋体" w:eastAsia="宋体"/>
                <w:color w:val="000000"/>
                <w:sz w:val="24"/>
              </w:rPr>
              <w:t>0.5万元、奖金2.5万元</w:t>
            </w:r>
          </w:p>
        </w:tc>
      </w:tr>
    </w:tbl>
    <w:p>
      <w:pPr>
        <w:pStyle w:val="null3"/>
        <w:jc w:val="left"/>
      </w:pPr>
      <w:r>
        <w:rPr>
          <w:rFonts w:ascii="宋体" w:hAnsi="宋体" w:cs="宋体" w:eastAsia="宋体"/>
          <w:b/>
          <w:sz w:val="28"/>
        </w:rPr>
        <w:t>3、供应商所提供的服务清单中的细项内容单价不能超过预算单价。供应商应根据以上表格做好分项报价，并在最终报价时扫描上传至福建省政府采购网上公开信</w:t>
      </w:r>
      <w:r>
        <w:rPr>
          <w:rFonts w:ascii="宋体" w:hAnsi="宋体" w:cs="宋体" w:eastAsia="宋体"/>
          <w:b/>
          <w:sz w:val="28"/>
        </w:rPr>
        <w:t>息系</w:t>
      </w:r>
      <w:r>
        <w:rPr>
          <w:rFonts w:ascii="宋体" w:hAnsi="宋体" w:cs="宋体" w:eastAsia="宋体"/>
          <w:b/>
          <w:sz w:val="28"/>
        </w:rPr>
        <w:t>统“</w:t>
      </w:r>
      <w:r>
        <w:rPr>
          <w:rFonts w:ascii="宋体" w:hAnsi="宋体" w:cs="宋体" w:eastAsia="宋体"/>
          <w:b/>
          <w:sz w:val="28"/>
        </w:rPr>
        <w:t>节能、环境标志产品</w:t>
      </w:r>
      <w:r>
        <w:rPr>
          <w:rFonts w:ascii="宋体" w:hAnsi="宋体" w:cs="宋体" w:eastAsia="宋体"/>
          <w:b/>
          <w:sz w:val="28"/>
        </w:rPr>
        <w:t>”附加分部分。</w:t>
      </w:r>
      <w:r>
        <w:rPr>
          <w:rFonts w:ascii="宋体" w:hAnsi="宋体" w:cs="宋体" w:eastAsia="宋体"/>
          <w:b/>
          <w:sz w:val="28"/>
        </w:rPr>
        <w:t>最终报价总价金额与按照单价汇总金额不一致时，按无效报价处理。</w:t>
      </w:r>
    </w:p>
    <w:p>
      <w:pPr>
        <w:pStyle w:val="null3"/>
        <w:jc w:val="left"/>
        <w:outlineLvl w:val="2"/>
      </w:pPr>
      <w:r>
        <w:rPr>
          <w:b/>
          <w:sz w:val="28"/>
        </w:rPr>
        <w:t>二、技术要求</w:t>
      </w:r>
    </w:p>
    <w:p>
      <w:pPr>
        <w:pStyle w:val="null3"/>
        <w:jc w:val="left"/>
      </w:pPr>
      <w:r>
        <w:rPr>
          <w:rFonts w:ascii="宋体" w:hAnsi="宋体" w:cs="宋体" w:eastAsia="宋体"/>
          <w:b/>
          <w:sz w:val="24"/>
        </w:rPr>
        <w:t>（一）举办防范非法集资宣传月集中宣传活动</w:t>
      </w:r>
    </w:p>
    <w:p>
      <w:pPr>
        <w:pStyle w:val="null3"/>
        <w:jc w:val="left"/>
      </w:pPr>
      <w:r>
        <w:rPr>
          <w:rFonts w:ascii="宋体" w:hAnsi="宋体" w:cs="宋体" w:eastAsia="宋体"/>
          <w:sz w:val="24"/>
        </w:rPr>
        <w:t xml:space="preserve"> ★</w:t>
      </w:r>
      <w:r>
        <w:rPr>
          <w:rFonts w:ascii="宋体" w:hAnsi="宋体" w:cs="宋体" w:eastAsia="宋体"/>
          <w:sz w:val="24"/>
        </w:rPr>
        <w:t>1</w:t>
      </w:r>
      <w:r>
        <w:rPr>
          <w:rFonts w:ascii="宋体" w:hAnsi="宋体" w:cs="宋体" w:eastAsia="宋体"/>
          <w:sz w:val="24"/>
        </w:rPr>
        <w:t>、</w:t>
      </w:r>
      <w:r>
        <w:rPr>
          <w:rFonts w:ascii="宋体" w:hAnsi="宋体" w:cs="宋体" w:eastAsia="宋体"/>
          <w:sz w:val="24"/>
        </w:rPr>
        <w:t>时间：</w:t>
      </w:r>
      <w:r>
        <w:rPr>
          <w:rFonts w:ascii="宋体" w:hAnsi="宋体" w:cs="宋体" w:eastAsia="宋体"/>
          <w:sz w:val="24"/>
        </w:rPr>
        <w:t>6月15日（全国防范非法集资宣传月集中宣传日）</w:t>
      </w:r>
    </w:p>
    <w:p>
      <w:pPr>
        <w:pStyle w:val="null3"/>
        <w:ind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主要内容：</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1</w:t>
      </w:r>
      <w:r>
        <w:rPr>
          <w:rFonts w:ascii="宋体" w:hAnsi="宋体" w:cs="宋体" w:eastAsia="宋体"/>
          <w:b/>
          <w:sz w:val="24"/>
        </w:rPr>
        <w:t>）</w:t>
      </w:r>
      <w:r>
        <w:rPr>
          <w:rFonts w:ascii="宋体" w:hAnsi="宋体" w:cs="宋体" w:eastAsia="宋体"/>
          <w:sz w:val="24"/>
        </w:rPr>
        <w:t>2.1</w:t>
      </w:r>
      <w:r>
        <w:rPr>
          <w:rFonts w:ascii="宋体" w:hAnsi="宋体" w:cs="宋体" w:eastAsia="宋体"/>
          <w:sz w:val="24"/>
        </w:rPr>
        <w:t>在福州举行全省</w:t>
      </w:r>
      <w:r>
        <w:rPr>
          <w:rFonts w:ascii="宋体" w:hAnsi="宋体" w:cs="宋体" w:eastAsia="宋体"/>
          <w:sz w:val="24"/>
        </w:rPr>
        <w:t>“全民防非 金融当先”宣传暨防范非法集资集中宣传日活动</w:t>
      </w:r>
      <w:r>
        <w:rPr>
          <w:rFonts w:ascii="宋体" w:hAnsi="宋体" w:cs="宋体" w:eastAsia="宋体"/>
          <w:sz w:val="24"/>
        </w:rPr>
        <w:t>。</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2.2</w:t>
      </w:r>
      <w:r>
        <w:rPr>
          <w:rFonts w:ascii="宋体" w:hAnsi="宋体" w:cs="宋体" w:eastAsia="宋体"/>
          <w:sz w:val="24"/>
        </w:rPr>
        <w:t>内容充分体现此次防范非法集资主题，包括穿插优秀宣传作品征集大赛颁奖、有奖知识问答、游园打卡、防非文艺演出等互动活动</w:t>
      </w:r>
      <w:r>
        <w:rPr>
          <w:rFonts w:ascii="宋体" w:hAnsi="宋体" w:cs="宋体" w:eastAsia="宋体"/>
          <w:sz w:val="24"/>
        </w:rPr>
        <w:t>。</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3</w:t>
      </w:r>
      <w:r>
        <w:rPr>
          <w:rFonts w:ascii="宋体" w:hAnsi="宋体" w:cs="宋体" w:eastAsia="宋体"/>
          <w:b/>
          <w:sz w:val="24"/>
        </w:rPr>
        <w:t>）</w:t>
      </w:r>
      <w:r>
        <w:rPr>
          <w:rFonts w:ascii="宋体" w:hAnsi="宋体" w:cs="宋体" w:eastAsia="宋体"/>
          <w:sz w:val="24"/>
        </w:rPr>
        <w:t>2.3</w:t>
      </w:r>
      <w:r>
        <w:rPr>
          <w:rFonts w:ascii="宋体" w:hAnsi="宋体" w:cs="宋体" w:eastAsia="宋体"/>
          <w:sz w:val="24"/>
        </w:rPr>
        <w:t>供应商应提供合适场地及活动的整体策划方案（包括活动现场效果图等），并负责场地布置、活动组织举办及宣传推广。</w:t>
      </w:r>
    </w:p>
    <w:p>
      <w:pPr>
        <w:pStyle w:val="null3"/>
        <w:jc w:val="left"/>
      </w:pPr>
      <w:r>
        <w:rPr>
          <w:rFonts w:ascii="宋体" w:hAnsi="宋体" w:cs="宋体" w:eastAsia="宋体"/>
          <w:b/>
          <w:sz w:val="24"/>
        </w:rPr>
        <w:t>（二）打造金融防非宣传矩阵</w:t>
      </w:r>
    </w:p>
    <w:p>
      <w:pPr>
        <w:pStyle w:val="null3"/>
        <w:jc w:val="left"/>
      </w:pPr>
      <w:r>
        <w:rPr>
          <w:rFonts w:ascii="宋体" w:hAnsi="宋体" w:cs="宋体" w:eastAsia="宋体"/>
          <w:sz w:val="24"/>
        </w:rPr>
        <w:t xml:space="preserve"> ★</w:t>
      </w:r>
      <w:r>
        <w:rPr>
          <w:rFonts w:ascii="宋体" w:hAnsi="宋体" w:cs="宋体" w:eastAsia="宋体"/>
          <w:sz w:val="24"/>
        </w:rPr>
        <w:t>1</w:t>
      </w:r>
      <w:r>
        <w:rPr>
          <w:rFonts w:ascii="宋体" w:hAnsi="宋体" w:cs="宋体" w:eastAsia="宋体"/>
          <w:sz w:val="24"/>
        </w:rPr>
        <w:t>、</w:t>
      </w:r>
      <w:r>
        <w:rPr>
          <w:rFonts w:ascii="宋体" w:hAnsi="宋体" w:cs="宋体" w:eastAsia="宋体"/>
          <w:sz w:val="24"/>
        </w:rPr>
        <w:t>时间：</w:t>
      </w:r>
      <w:r>
        <w:rPr>
          <w:rFonts w:ascii="宋体" w:hAnsi="宋体" w:cs="宋体" w:eastAsia="宋体"/>
          <w:sz w:val="24"/>
        </w:rPr>
        <w:t>6月-7月</w:t>
      </w:r>
    </w:p>
    <w:p>
      <w:pPr>
        <w:pStyle w:val="null3"/>
        <w:ind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主要内容：</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4</w:t>
      </w:r>
      <w:r>
        <w:rPr>
          <w:rFonts w:ascii="宋体" w:hAnsi="宋体" w:cs="宋体" w:eastAsia="宋体"/>
          <w:b/>
          <w:sz w:val="24"/>
        </w:rPr>
        <w:t>）</w:t>
      </w:r>
      <w:r>
        <w:rPr>
          <w:rFonts w:ascii="宋体" w:hAnsi="宋体" w:cs="宋体" w:eastAsia="宋体"/>
          <w:sz w:val="24"/>
        </w:rPr>
        <w:t>2.1</w:t>
      </w:r>
      <w:r>
        <w:rPr>
          <w:rFonts w:ascii="宋体" w:hAnsi="宋体" w:cs="宋体" w:eastAsia="宋体"/>
          <w:sz w:val="24"/>
        </w:rPr>
        <w:t>制作并向群众发放</w:t>
      </w:r>
      <w:r>
        <w:rPr>
          <w:rFonts w:ascii="宋体" w:hAnsi="宋体" w:cs="宋体" w:eastAsia="宋体"/>
          <w:sz w:val="24"/>
        </w:rPr>
        <w:t>3万份“全民防非 金融当先”礼包套装（“三个一”礼包：1个帆布手提袋、1把扇子、1张宣传三折页，该项预算30万元以内），交由“全民防非 金融当先”宣传</w:t>
      </w:r>
      <w:r>
        <w:rPr>
          <w:rFonts w:ascii="宋体" w:hAnsi="宋体" w:cs="宋体" w:eastAsia="宋体"/>
          <w:sz w:val="24"/>
        </w:rPr>
        <w:t>活动</w:t>
      </w:r>
      <w:r>
        <w:rPr>
          <w:rFonts w:ascii="宋体" w:hAnsi="宋体" w:cs="宋体" w:eastAsia="宋体"/>
          <w:sz w:val="24"/>
        </w:rPr>
        <w:t>省级首批</w:t>
      </w:r>
      <w:r>
        <w:rPr>
          <w:rFonts w:ascii="宋体" w:hAnsi="宋体" w:cs="宋体" w:eastAsia="宋体"/>
          <w:sz w:val="24"/>
        </w:rPr>
        <w:t>10家金融机构（企业）代为发放</w:t>
      </w:r>
      <w:r>
        <w:rPr>
          <w:rFonts w:ascii="宋体" w:hAnsi="宋体" w:cs="宋体" w:eastAsia="宋体"/>
          <w:sz w:val="24"/>
        </w:rPr>
        <w:t>。</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5</w:t>
      </w:r>
      <w:r>
        <w:rPr>
          <w:rFonts w:ascii="宋体" w:hAnsi="宋体" w:cs="宋体" w:eastAsia="宋体"/>
          <w:b/>
          <w:sz w:val="24"/>
        </w:rPr>
        <w:t>）</w:t>
      </w:r>
      <w:r>
        <w:rPr>
          <w:rFonts w:ascii="宋体" w:hAnsi="宋体" w:cs="宋体" w:eastAsia="宋体"/>
          <w:sz w:val="24"/>
        </w:rPr>
        <w:t>制作</w:t>
      </w:r>
      <w:r>
        <w:rPr>
          <w:rFonts w:ascii="宋体" w:hAnsi="宋体" w:cs="宋体" w:eastAsia="宋体"/>
          <w:sz w:val="24"/>
        </w:rPr>
        <w:t>1000张海报，交由“全民防非 金融当先”宣传</w:t>
      </w:r>
      <w:r>
        <w:rPr>
          <w:rFonts w:ascii="宋体" w:hAnsi="宋体" w:cs="宋体" w:eastAsia="宋体"/>
          <w:sz w:val="24"/>
        </w:rPr>
        <w:t>活动</w:t>
      </w:r>
      <w:r>
        <w:rPr>
          <w:rFonts w:ascii="宋体" w:hAnsi="宋体" w:cs="宋体" w:eastAsia="宋体"/>
          <w:sz w:val="24"/>
        </w:rPr>
        <w:t>省级首批</w:t>
      </w:r>
      <w:r>
        <w:rPr>
          <w:rFonts w:ascii="宋体" w:hAnsi="宋体" w:cs="宋体" w:eastAsia="宋体"/>
          <w:sz w:val="24"/>
        </w:rPr>
        <w:t>10家金融机构（企业）张贴；制作50件志愿者背心及10面旗帜、10件授带，交宣传员使用。供应商提供帆布手提袋、扇子、海报、</w:t>
      </w:r>
      <w:r>
        <w:rPr>
          <w:rFonts w:ascii="宋体" w:hAnsi="宋体" w:cs="宋体" w:eastAsia="宋体"/>
        </w:rPr>
        <w:t>三折页</w:t>
      </w:r>
      <w:r>
        <w:rPr>
          <w:rFonts w:ascii="宋体" w:hAnsi="宋体" w:cs="宋体" w:eastAsia="宋体"/>
          <w:sz w:val="24"/>
        </w:rPr>
        <w:t>、背心，负责设计（应体现防范非法集资及特色金融文化元素）、制作，并运送至</w:t>
      </w:r>
      <w:r>
        <w:rPr>
          <w:rFonts w:ascii="宋体" w:hAnsi="宋体" w:cs="宋体" w:eastAsia="宋体"/>
          <w:sz w:val="24"/>
        </w:rPr>
        <w:t>10家金融机构（企业），所有工作应于6月6日前完成。</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6</w:t>
      </w:r>
      <w:r>
        <w:rPr>
          <w:rFonts w:ascii="宋体" w:hAnsi="宋体" w:cs="宋体" w:eastAsia="宋体"/>
          <w:b/>
          <w:sz w:val="24"/>
        </w:rPr>
        <w:t>）</w:t>
      </w:r>
      <w:r>
        <w:rPr>
          <w:rFonts w:ascii="宋体" w:hAnsi="宋体" w:cs="宋体" w:eastAsia="宋体"/>
          <w:sz w:val="24"/>
        </w:rPr>
        <w:t>2.2</w:t>
      </w:r>
      <w:r>
        <w:rPr>
          <w:rFonts w:ascii="宋体" w:hAnsi="宋体" w:cs="宋体" w:eastAsia="宋体"/>
          <w:sz w:val="24"/>
        </w:rPr>
        <w:t>跟踪统计</w:t>
      </w:r>
      <w:r>
        <w:rPr>
          <w:rFonts w:ascii="宋体" w:hAnsi="宋体" w:cs="宋体" w:eastAsia="宋体"/>
          <w:sz w:val="24"/>
        </w:rPr>
        <w:t>10家金融机构（企业）发放防非礼包情况，确保礼包发放给群众。</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7</w:t>
      </w:r>
      <w:r>
        <w:rPr>
          <w:rFonts w:ascii="宋体" w:hAnsi="宋体" w:cs="宋体" w:eastAsia="宋体"/>
          <w:b/>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礼包套装</w:t>
      </w:r>
      <w:r>
        <w:rPr>
          <w:rFonts w:ascii="宋体" w:hAnsi="宋体" w:cs="宋体" w:eastAsia="宋体"/>
          <w:sz w:val="24"/>
        </w:rPr>
        <w:t>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130"/>
        <w:gridCol w:w="5550"/>
        <w:gridCol w:w="1395"/>
        <w:gridCol w:w="1245"/>
      </w:tblGrid>
      <w:tr>
        <w:tc>
          <w:tcPr>
            <w:tcW w:type="dxa" w:w="2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礼品名称</w:t>
            </w:r>
          </w:p>
        </w:tc>
        <w:tc>
          <w:tcPr>
            <w:tcW w:type="dxa" w:w="5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规格</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单位</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数量</w:t>
            </w:r>
          </w:p>
        </w:tc>
      </w:tr>
      <w:tr>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三折页</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高</w:t>
            </w:r>
            <w:r>
              <w:rPr>
                <w:rFonts w:ascii="宋体" w:hAnsi="宋体" w:cs="宋体" w:eastAsia="宋体"/>
                <w:color w:val="000000"/>
                <w:sz w:val="24"/>
              </w:rPr>
              <w:t>21*长28.5cm 157克铜板纸</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张</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w:t>
            </w:r>
          </w:p>
        </w:tc>
      </w:tr>
      <w:tr>
        <w:tc>
          <w:tcPr>
            <w:tcW w:type="dxa" w:w="2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扇子</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钉扇异形扇面形状，扇面尺寸约</w:t>
            </w:r>
            <w:r>
              <w:rPr>
                <w:rFonts w:ascii="宋体" w:hAnsi="宋体" w:cs="宋体" w:eastAsia="宋体"/>
                <w:color w:val="000000"/>
                <w:sz w:val="24"/>
              </w:rPr>
              <w:t>17cm宽*17cm高，透明手柄总长度13.5cm</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把</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w:t>
            </w:r>
          </w:p>
        </w:tc>
      </w:tr>
      <w:tr>
        <w:tc>
          <w:tcPr>
            <w:tcW w:type="dxa" w:w="213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帆布手提袋</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高</w:t>
            </w:r>
            <w:r>
              <w:rPr>
                <w:rFonts w:ascii="宋体" w:hAnsi="宋体" w:cs="宋体" w:eastAsia="宋体"/>
                <w:color w:val="000000"/>
                <w:sz w:val="24"/>
              </w:rPr>
              <w:t>37x宽35x底侧10cm，16安涤棉 四色单面uv 缝线工艺手拎打叉</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w:t>
            </w:r>
          </w:p>
        </w:tc>
      </w:tr>
      <w:tr>
        <w:tc>
          <w:tcPr>
            <w:tcW w:type="dxa" w:w="2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海报</w:t>
            </w:r>
          </w:p>
        </w:tc>
        <w:tc>
          <w:tcPr>
            <w:tcW w:type="dxa" w:w="5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120*80cm  200克铜板纸</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1000</w:t>
            </w:r>
          </w:p>
        </w:tc>
      </w:tr>
    </w:tbl>
    <w:p>
      <w:pPr>
        <w:pStyle w:val="null3"/>
        <w:jc w:val="left"/>
      </w:pPr>
      <w:r>
        <w:rPr>
          <w:rFonts w:ascii="宋体" w:hAnsi="宋体" w:cs="宋体" w:eastAsia="宋体"/>
          <w:b/>
          <w:sz w:val="24"/>
        </w:rPr>
        <w:t>（三）</w:t>
      </w:r>
      <w:r>
        <w:rPr>
          <w:rFonts w:ascii="宋体" w:hAnsi="宋体" w:cs="宋体" w:eastAsia="宋体"/>
          <w:b/>
          <w:sz w:val="24"/>
        </w:rPr>
        <w:t>“沉浸式防非”有奖游戏推广</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时间：</w:t>
      </w:r>
      <w:r>
        <w:rPr>
          <w:rFonts w:ascii="宋体" w:hAnsi="宋体" w:cs="宋体" w:eastAsia="宋体"/>
          <w:sz w:val="24"/>
        </w:rPr>
        <w:t>6月15日-30日</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8</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主要内容：供应商根据本单位开发的</w:t>
      </w:r>
      <w:r>
        <w:rPr>
          <w:rFonts w:ascii="宋体" w:hAnsi="宋体" w:cs="宋体" w:eastAsia="宋体"/>
          <w:sz w:val="24"/>
        </w:rPr>
        <w:t>“沉浸式防非”H5有奖游戏，提供技术端口上线推广服务，并做好兑奖工作。</w:t>
      </w:r>
    </w:p>
    <w:p>
      <w:pPr>
        <w:pStyle w:val="null3"/>
        <w:jc w:val="left"/>
      </w:pPr>
      <w:r>
        <w:rPr>
          <w:rFonts w:ascii="宋体" w:hAnsi="宋体" w:cs="宋体" w:eastAsia="宋体"/>
          <w:b/>
          <w:sz w:val="24"/>
        </w:rPr>
        <w:t>（四）媒体矩阵推广要求</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9</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针对</w:t>
      </w:r>
      <w:r>
        <w:rPr>
          <w:rFonts w:ascii="宋体" w:hAnsi="宋体" w:cs="宋体" w:eastAsia="宋体"/>
          <w:sz w:val="24"/>
        </w:rPr>
        <w:t>“全民防非 金融当先”宣传活动暨防范非法集资宣传月活动，供应商应协调媒体矩阵进行持续宣传</w:t>
      </w:r>
      <w:r>
        <w:rPr>
          <w:rFonts w:ascii="宋体" w:hAnsi="宋体" w:cs="宋体" w:eastAsia="宋体"/>
          <w:sz w:val="24"/>
        </w:rPr>
        <w:t>。</w:t>
      </w:r>
    </w:p>
    <w:p>
      <w:pPr>
        <w:pStyle w:val="null3"/>
        <w:ind w:firstLine="480"/>
        <w:jc w:val="left"/>
      </w:pPr>
      <w:r>
        <w:rPr>
          <w:rFonts w:ascii="宋体" w:hAnsi="宋体" w:cs="宋体" w:eastAsia="宋体"/>
          <w:sz w:val="24"/>
        </w:rPr>
        <w:t>2、</w:t>
      </w:r>
      <w:r>
        <w:rPr>
          <w:rFonts w:ascii="宋体" w:hAnsi="宋体" w:cs="宋体" w:eastAsia="宋体"/>
          <w:sz w:val="24"/>
        </w:rPr>
        <w:t>宣传范围包括：</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10</w:t>
      </w:r>
      <w:r>
        <w:rPr>
          <w:rFonts w:ascii="宋体" w:hAnsi="宋体" w:cs="宋体" w:eastAsia="宋体"/>
          <w:b/>
          <w:sz w:val="24"/>
        </w:rPr>
        <w:t>）</w:t>
      </w:r>
      <w:r>
        <w:rPr>
          <w:rFonts w:ascii="宋体" w:hAnsi="宋体" w:cs="宋体" w:eastAsia="宋体"/>
          <w:sz w:val="24"/>
        </w:rPr>
        <w:t>2.1</w:t>
      </w:r>
      <w:r>
        <w:rPr>
          <w:rFonts w:ascii="宋体" w:hAnsi="宋体" w:cs="宋体" w:eastAsia="宋体"/>
          <w:sz w:val="24"/>
        </w:rPr>
        <w:t>在省级以上电视媒体报道</w:t>
      </w:r>
      <w:r>
        <w:rPr>
          <w:rFonts w:ascii="宋体" w:hAnsi="宋体" w:cs="宋体" w:eastAsia="宋体"/>
          <w:sz w:val="24"/>
        </w:rPr>
        <w:t>；</w:t>
      </w:r>
      <w:r>
        <w:rPr>
          <w:rFonts w:ascii="宋体" w:hAnsi="宋体" w:cs="宋体" w:eastAsia="宋体"/>
          <w:sz w:val="24"/>
        </w:rPr>
        <w:t>在不少于</w:t>
      </w:r>
      <w:r>
        <w:rPr>
          <w:rFonts w:ascii="宋体" w:hAnsi="宋体" w:cs="宋体" w:eastAsia="宋体"/>
          <w:sz w:val="24"/>
        </w:rPr>
        <w:t>15家省级以上官方新媒体报道</w:t>
      </w:r>
      <w:r>
        <w:rPr>
          <w:rFonts w:ascii="宋体" w:hAnsi="宋体" w:cs="宋体" w:eastAsia="宋体"/>
          <w:sz w:val="24"/>
        </w:rPr>
        <w:t>；</w:t>
      </w:r>
      <w:r>
        <w:rPr>
          <w:rFonts w:ascii="宋体" w:hAnsi="宋体" w:cs="宋体" w:eastAsia="宋体"/>
          <w:sz w:val="24"/>
        </w:rPr>
        <w:t>其中央媒体至少</w:t>
      </w:r>
      <w:r>
        <w:rPr>
          <w:rFonts w:ascii="宋体" w:hAnsi="宋体" w:cs="宋体" w:eastAsia="宋体"/>
          <w:sz w:val="24"/>
        </w:rPr>
        <w:t>2家。</w:t>
      </w:r>
    </w:p>
    <w:p>
      <w:pPr>
        <w:pStyle w:val="null3"/>
        <w:ind w:firstLine="482"/>
        <w:jc w:val="left"/>
      </w:pPr>
      <w:r>
        <w:rPr>
          <w:rFonts w:ascii="宋体" w:hAnsi="宋体" w:cs="宋体" w:eastAsia="宋体"/>
          <w:b/>
          <w:sz w:val="24"/>
        </w:rPr>
        <w:t>（</w:t>
      </w:r>
      <w:r>
        <w:rPr>
          <w:rFonts w:ascii="宋体" w:hAnsi="宋体" w:cs="宋体" w:eastAsia="宋体"/>
          <w:b/>
          <w:sz w:val="24"/>
        </w:rPr>
        <w:t>评审指标项</w:t>
      </w:r>
      <w:r>
        <w:rPr>
          <w:rFonts w:ascii="宋体" w:hAnsi="宋体" w:cs="宋体" w:eastAsia="宋体"/>
          <w:b/>
          <w:sz w:val="24"/>
        </w:rPr>
        <w:t>11</w:t>
      </w:r>
      <w:r>
        <w:rPr>
          <w:rFonts w:ascii="宋体" w:hAnsi="宋体" w:cs="宋体" w:eastAsia="宋体"/>
          <w:b/>
          <w:sz w:val="24"/>
        </w:rPr>
        <w:t>）</w:t>
      </w:r>
      <w:r>
        <w:rPr>
          <w:rFonts w:ascii="宋体" w:hAnsi="宋体" w:cs="宋体" w:eastAsia="宋体"/>
          <w:sz w:val="24"/>
        </w:rPr>
        <w:t>2.2</w:t>
      </w:r>
      <w:r>
        <w:rPr>
          <w:rFonts w:ascii="宋体" w:hAnsi="宋体" w:cs="宋体" w:eastAsia="宋体"/>
          <w:sz w:val="24"/>
        </w:rPr>
        <w:t>整合</w:t>
      </w:r>
      <w:r>
        <w:rPr>
          <w:rFonts w:ascii="宋体" w:hAnsi="宋体" w:cs="宋体" w:eastAsia="宋体"/>
          <w:sz w:val="24"/>
        </w:rPr>
        <w:t>10家金融机构宣传开展情况、各地市处非办宣传典型案例，在省级主要新媒体平台开展集中宣传专栏报道。</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各项服务应根据本章“二、技术服务要求”中明确的时间交货</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按照竞争性磋商文件要求执行，验收合格。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1、期次1，说明：成交人应提供服务内容相关佐证材料，采购人根据佐证材料进行验收。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1、活动验收后，采购人根据成交人提供的正规、足额的增值税普通发票，达到付款条件起15日内，支付合同总金额的100.00%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rPr>
        <w:t>★其他商务要求</w:t>
      </w:r>
      <w:r>
        <w:rPr>
          <w:rFonts w:ascii="宋体" w:hAnsi="宋体" w:cs="宋体" w:eastAsia="宋体"/>
          <w:sz w:val="24"/>
        </w:rPr>
        <w:t>如下</w:t>
      </w:r>
      <w:r>
        <w:rPr>
          <w:rFonts w:ascii="宋体" w:hAnsi="宋体" w:cs="宋体" w:eastAsia="宋体"/>
          <w:sz w:val="24"/>
        </w:rPr>
        <w:t>：</w:t>
      </w:r>
    </w:p>
    <w:p>
      <w:pPr>
        <w:pStyle w:val="null3"/>
        <w:jc w:val="left"/>
      </w:pPr>
      <w:r>
        <w:rPr>
          <w:rFonts w:ascii="宋体" w:hAnsi="宋体" w:cs="宋体" w:eastAsia="宋体"/>
          <w:sz w:val="24"/>
        </w:rPr>
        <w:t>8、违约条款</w:t>
      </w:r>
    </w:p>
    <w:p>
      <w:pPr>
        <w:pStyle w:val="null3"/>
        <w:jc w:val="left"/>
      </w:pPr>
      <w:r>
        <w:rPr>
          <w:rFonts w:ascii="宋体" w:hAnsi="宋体" w:cs="宋体" w:eastAsia="宋体"/>
          <w:sz w:val="24"/>
        </w:rPr>
        <w:t>8.1双方严格履行合同的各项条款，违约方应该赔偿由此给守约方造成的经济损失。</w:t>
      </w:r>
    </w:p>
    <w:p>
      <w:pPr>
        <w:pStyle w:val="null3"/>
        <w:jc w:val="left"/>
      </w:pPr>
      <w:r>
        <w:rPr>
          <w:rFonts w:ascii="宋体" w:hAnsi="宋体" w:cs="宋体" w:eastAsia="宋体"/>
          <w:sz w:val="24"/>
        </w:rPr>
        <w:t>8.2成交人不能按本合同约定方式和期限完成相关服务内容，相应服务费用予以扣除，并应就因此给采购人活动开展带来的影响承担赔偿责任，支付本合同金额的20%给采购人作为赔偿金。由于不可抗力（包括国家有关政策的变化、自然灾害等）造成活动延期或者改期举行，双方均不承担赔偿责任，但活动相对应的责任与义务双方都应按约履行。</w:t>
      </w:r>
    </w:p>
    <w:p>
      <w:pPr>
        <w:pStyle w:val="null3"/>
        <w:jc w:val="left"/>
      </w:pPr>
      <w:r>
        <w:rPr>
          <w:rFonts w:ascii="宋体" w:hAnsi="宋体" w:cs="宋体" w:eastAsia="宋体"/>
          <w:sz w:val="24"/>
        </w:rPr>
        <w:t>8.3若采购人未能按照合同约定的时间支付款项，采购人按逾期天数向成交人支付应付合同金额每日万分之三的滞纳金。</w:t>
      </w:r>
    </w:p>
    <w:p>
      <w:pPr>
        <w:pStyle w:val="null3"/>
        <w:jc w:val="both"/>
      </w:pPr>
      <w:r>
        <w:rPr>
          <w:rFonts w:ascii="宋体" w:hAnsi="宋体" w:cs="宋体" w:eastAsia="宋体"/>
          <w:sz w:val="24"/>
        </w:rPr>
        <w:t>8.4除不可抗力情形出现外，成交人无权单方面终止本合同。任何一方提前终止合同，需提前10天以书面形式通知对方，并经双方协商一致后，取得对方的书面同意后方可终止合同。</w:t>
      </w:r>
    </w:p>
    <w:p>
      <w:pPr>
        <w:pStyle w:val="null3"/>
        <w:jc w:val="left"/>
        <w:outlineLvl w:val="2"/>
      </w:pPr>
      <w:r>
        <w:rPr>
          <w:b/>
          <w:sz w:val="28"/>
        </w:rPr>
        <w:t>四、其他事项</w:t>
      </w:r>
    </w:p>
    <w:p>
      <w:pPr>
        <w:pStyle w:val="null3"/>
        <w:jc w:val="left"/>
      </w:pPr>
      <w:r>
        <w:rPr/>
        <w:t>1 、以上所述一切费用均包含在报价总价中。 2 、本竞争性磋商文件明确的约定事项或条款，是采购人与成交人签订合同时的合同条款。竞争性磋商文件未明确的其它约定事项或条款，待采购人与成交人签订合同时，由双方协商订立。</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