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rPr>
          <w:rFonts w:hint="default" w:ascii="方正小标宋简体" w:hAnsi="黑体" w:eastAsia="方正小标宋简体"/>
          <w:sz w:val="44"/>
          <w:szCs w:val="44"/>
          <w:lang w:val="en-US" w:eastAsia="zh-CN"/>
        </w:rPr>
      </w:pPr>
      <w:r>
        <w:rPr>
          <w:rFonts w:hint="eastAsia" w:ascii="黑体" w:hAnsi="宋体" w:eastAsia="黑体" w:cs="仿宋"/>
          <w:sz w:val="32"/>
          <w:szCs w:val="32"/>
          <w:lang w:val="en-US" w:eastAsia="zh-CN"/>
        </w:rPr>
        <w:t>附件</w:t>
      </w:r>
      <w:r>
        <w:rPr>
          <w:rFonts w:hint="default" w:ascii="黑体" w:hAnsi="宋体" w:eastAsia="黑体" w:cs="仿宋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简体" w:hAnsi="仿宋" w:eastAsia="方正小标宋简体" w:cs="仿宋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简体" w:hAnsi="仿宋" w:eastAsia="方正小标宋简体" w:cs="仿宋"/>
          <w:sz w:val="44"/>
          <w:szCs w:val="44"/>
          <w:lang w:val="en-US" w:eastAsia="zh-CN"/>
        </w:rPr>
      </w:pPr>
      <w:r>
        <w:rPr>
          <w:rFonts w:hint="eastAsia" w:ascii="方正小标宋简体" w:hAnsi="仿宋" w:eastAsia="方正小标宋简体" w:cs="仿宋"/>
          <w:sz w:val="44"/>
          <w:szCs w:val="44"/>
          <w:lang w:val="en-US" w:eastAsia="zh-CN"/>
        </w:rPr>
        <w:t>监理单位和工作要求、支付条款、违约条款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简体" w:hAnsi="仿宋" w:eastAsia="方正小标宋简体" w:cs="仿宋"/>
          <w:sz w:val="44"/>
          <w:szCs w:val="4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一、监理单位和工作要求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（一）监理单位要求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.监理单位应派遣相应专业的注册监理工程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师；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.本次服务项目实行总监理工程师负责制，要求以现场监理为主方式进行，监理工程师应驻场，负责项目的全程监理工作；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.总监理工程师、各专业的注册监理工程师在本工程施工期间不得在其他项目兼职，中标后不得随意更换总监理师及主要监理工程师。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（二）监理工作要求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监理单位应该在质量控制、进度控制、安全控制、信息管理、合同管理等方面对所监理工程采取必要和完善的监督、控制和管理，保证监理工程能够保质保量完成；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.监理单位应当依据国家法律、法规、标准以及项目合同、设计方案、监理规划等文件控制项目工程质量；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.监理单位应严格按照施工招标文件和监理合同的工期要求，确保在规定的施工期内完成本工程；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.监理单位应建立合理的组织管理体系，确保监理单位自身的有效组织和管理。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（三）检测设备、设施要求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拟投入的检测设备、设施应有针对性且完备，满足项目监理测试的要求。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（四）其他要求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.监理单位所报监理工作方案，包括但不限于以下内容：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（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）项目监理范围、内容；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（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）项目监理依据；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（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）项目监理的控制要求及目标；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（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）项目监理对资料的管理措施；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（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）项目监理机构的组织形式；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（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）监理人员构成、简历表、资质证明，监理人员岗位职责；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（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）项目监理工作计划及进度流程；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（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）项目监理工作方法及质量保障措施；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（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）项目拟投入检测的监理设备设施及检测方案；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.监理单位提供的所有资质材料必须确保其真实性，如有造假，一经查实，将取消竞标资格；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.项目竣工验收合格后，监理单位应出具符合国家法律规定的监理报告。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二、违约条款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在签订合同之后，非因本中心违约或发生不可抗力，监理单位要求解除合同的，视为监理单位违约，监理单位需支付相应的赔偿。因解除合同造成损失的，监理单位还需支付相应的赔偿；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  <w:t>（二）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监理单位在履行合同过程中，给本中心造成损失的，应承担全部赔偿责任； 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  <w:t>（三）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服务期内，如本中心认为监理单位的服务人员不能胜任监理工作，有权要求更换。监理单位在确认后，应在一周内更换成符合本中心要求的监理工作人员；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  <w:t>（四）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本中心无正当理由逾期支付款项造成监理单位的损失，监理单位拥有依法索赔的权利。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三、支付条款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  <w:t>（一）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合同生效，本中心收到监理单位提供的正规、足额的增值税普通发票后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个工作日内，向监理单位支付合同总金额的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55%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  <w:t>（二）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服务期满，经项目竣工验收合格，并收到监理单位提供的正规、足额的增值税普通发票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个工作日内，向监理单位支付合同总金额的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45%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354CD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iPriority w:val="0"/>
    <w:pPr>
      <w:ind w:firstLine="420" w:firstLineChars="100"/>
    </w:pPr>
  </w:style>
  <w:style w:type="paragraph" w:styleId="3">
    <w:name w:val="Body Text"/>
    <w:basedOn w:val="1"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RSNET</dc:creator>
  <cp:lastModifiedBy>RSNET</cp:lastModifiedBy>
  <dcterms:modified xsi:type="dcterms:W3CDTF">2023-05-16T01:23:28Z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