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left"/>
        <w:rPr>
          <w:rFonts w:hint="eastAsia"/>
          <w:sz w:val="32"/>
          <w:szCs w:val="32"/>
          <w:lang w:val="en-US" w:eastAsia="zh-CN"/>
        </w:rPr>
      </w:pPr>
      <w:r>
        <w:rPr>
          <w:rFonts w:hint="eastAsia"/>
          <w:sz w:val="32"/>
          <w:szCs w:val="32"/>
          <w:lang w:val="en-US" w:eastAsia="zh-CN"/>
        </w:rPr>
        <w:t>附件1</w:t>
      </w:r>
    </w:p>
    <w:p>
      <w:pPr>
        <w:widowControl w:val="0"/>
        <w:numPr>
          <w:ilvl w:val="0"/>
          <w:numId w:val="0"/>
        </w:numPr>
        <w:jc w:val="center"/>
        <w:rPr>
          <w:rFonts w:hint="default"/>
          <w:sz w:val="32"/>
          <w:szCs w:val="32"/>
          <w:lang w:val="en-US" w:eastAsia="zh-CN"/>
        </w:rPr>
      </w:pPr>
      <w:r>
        <w:rPr>
          <w:rFonts w:hint="eastAsia" w:ascii="方正小标宋简体" w:hAnsi="方正小标宋简体" w:eastAsia="方正小标宋简体" w:cs="方正小标宋简体"/>
          <w:sz w:val="44"/>
          <w:szCs w:val="44"/>
          <w:lang w:val="en-US" w:eastAsia="zh-CN"/>
        </w:rPr>
        <w:t>项目参数要求及商务条款</w:t>
      </w:r>
    </w:p>
    <w:p>
      <w:pPr>
        <w:widowControl w:val="0"/>
        <w:numPr>
          <w:ilvl w:val="0"/>
          <w:numId w:val="0"/>
        </w:numPr>
        <w:ind w:firstLine="640" w:firstLineChars="200"/>
        <w:jc w:val="left"/>
        <w:rPr>
          <w:rFonts w:hint="default"/>
          <w:sz w:val="32"/>
          <w:szCs w:val="32"/>
          <w:lang w:val="en-US" w:eastAsia="zh-CN"/>
        </w:rPr>
      </w:pPr>
      <w:r>
        <w:rPr>
          <w:rFonts w:hint="eastAsia" w:ascii="黑体" w:hAnsi="黑体" w:eastAsia="黑体" w:cs="黑体"/>
          <w:sz w:val="32"/>
          <w:szCs w:val="32"/>
          <w:lang w:val="en-US" w:eastAsia="zh-CN"/>
        </w:rPr>
        <w:t>一、参数要求</w:t>
      </w:r>
    </w:p>
    <w:tbl>
      <w:tblPr>
        <w:tblStyle w:val="3"/>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846"/>
        <w:gridCol w:w="6255"/>
        <w:gridCol w:w="390"/>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名称</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技术规格</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指纹密码锁</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1.符合GA374-2019《电子防盗锁》标准，安全级别：B级，</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 xml:space="preserve">2.材质：铝合金， </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3.开门方式；指纹，密码，钥匙，手机app，微信小程序，蓝牙钥匙（选配）</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 xml:space="preserve">4.指纹识别速度＜0.5s ，误识率≤1%，指纹容量：60枚，虚位密码，半导体指纹头； </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5</w:t>
            </w:r>
            <w:r>
              <w:rPr>
                <w:rFonts w:hint="default" w:ascii="Arial" w:hAnsi="Arial" w:eastAsia="宋体" w:cs="Arial"/>
                <w:i w:val="0"/>
                <w:iCs w:val="0"/>
                <w:color w:val="000000"/>
                <w:sz w:val="20"/>
                <w:szCs w:val="20"/>
                <w:u w:val="none"/>
              </w:rPr>
              <w:t>.</w:t>
            </w:r>
            <w:r>
              <w:rPr>
                <w:rFonts w:hint="default" w:ascii="Arial" w:hAnsi="Arial" w:eastAsia="宋体" w:cs="Arial"/>
                <w:i w:val="0"/>
                <w:iCs w:val="0"/>
                <w:color w:val="000000"/>
                <w:sz w:val="20"/>
                <w:szCs w:val="20"/>
                <w:u w:val="none"/>
                <w:lang w:val="en-US" w:eastAsia="zh-CN"/>
              </w:rPr>
              <w:t>锁体：304不锈钢，超b级全铜锁芯。</w:t>
            </w:r>
            <w:r>
              <w:rPr>
                <w:rFonts w:hint="default" w:ascii="Arial" w:hAnsi="Arial" w:eastAsia="宋体" w:cs="Arial"/>
                <w:i w:val="0"/>
                <w:iCs w:val="0"/>
                <w:color w:val="000000"/>
                <w:sz w:val="20"/>
                <w:szCs w:val="20"/>
                <w:u w:val="none"/>
              </w:rPr>
              <w:t>锁壳</w:t>
            </w:r>
            <w:r>
              <w:rPr>
                <w:rFonts w:hint="default" w:ascii="Arial" w:hAnsi="Arial" w:eastAsia="宋体" w:cs="Arial"/>
                <w:i w:val="0"/>
                <w:iCs w:val="0"/>
                <w:color w:val="000000"/>
                <w:sz w:val="20"/>
                <w:szCs w:val="20"/>
                <w:u w:val="none"/>
                <w:lang w:eastAsia="zh-CN"/>
              </w:rPr>
              <w:t>：</w:t>
            </w:r>
            <w:r>
              <w:rPr>
                <w:rFonts w:hint="default" w:ascii="Arial" w:hAnsi="Arial" w:eastAsia="宋体" w:cs="Arial"/>
                <w:i w:val="0"/>
                <w:iCs w:val="0"/>
                <w:color w:val="000000"/>
                <w:sz w:val="20"/>
                <w:szCs w:val="20"/>
                <w:u w:val="none"/>
              </w:rPr>
              <w:t>应该有足够的机械强度和刚度，能够承受至少100N以上的冲击测试，且无变形、无损坏，提供国家认可的检测机构出具的检测报告复印件证明</w:t>
            </w:r>
            <w:r>
              <w:rPr>
                <w:rFonts w:hint="default" w:ascii="Arial" w:hAnsi="Arial" w:eastAsia="宋体" w:cs="Arial"/>
                <w:i w:val="0"/>
                <w:iCs w:val="0"/>
                <w:color w:val="000000"/>
                <w:sz w:val="20"/>
                <w:szCs w:val="20"/>
                <w:u w:val="none"/>
                <w:lang w:eastAsia="zh-CN"/>
              </w:rPr>
              <w:t>，</w:t>
            </w:r>
            <w:r>
              <w:rPr>
                <w:rFonts w:hint="default" w:ascii="Arial" w:hAnsi="Arial" w:eastAsia="宋体" w:cs="Arial"/>
                <w:i w:val="0"/>
                <w:iCs w:val="0"/>
                <w:color w:val="000000"/>
                <w:sz w:val="20"/>
                <w:szCs w:val="20"/>
                <w:u w:val="none"/>
                <w:lang w:val="en-US" w:eastAsia="zh-CN"/>
              </w:rPr>
              <w:t>具有防拆报警系统；</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6.app功能；报警功能；防撬报警，低电压报警，禁试报警.锁具信息查询，开门记录查询 .临时密码功能 ，微信小程序临时开门.开锁通知实时提醒-手机</w:t>
            </w:r>
            <w:r>
              <w:rPr>
                <w:rFonts w:hint="eastAsia" w:ascii="Arial" w:hAnsi="Arial" w:eastAsia="宋体" w:cs="Arial"/>
                <w:i w:val="0"/>
                <w:iCs w:val="0"/>
                <w:color w:val="000000"/>
                <w:sz w:val="20"/>
                <w:szCs w:val="20"/>
                <w:u w:val="none"/>
                <w:lang w:val="en-US" w:eastAsia="zh-CN"/>
              </w:rPr>
              <w:t>；</w:t>
            </w:r>
            <w:r>
              <w:rPr>
                <w:rFonts w:hint="default" w:ascii="Arial" w:hAnsi="Arial" w:eastAsia="宋体" w:cs="Arial"/>
                <w:i w:val="0"/>
                <w:iCs w:val="0"/>
                <w:color w:val="000000"/>
                <w:sz w:val="20"/>
                <w:szCs w:val="20"/>
                <w:u w:val="none"/>
                <w:lang w:val="en-US" w:eastAsia="zh-CN"/>
              </w:rPr>
              <w:t xml:space="preserve">  </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lang w:val="en-US" w:eastAsia="zh-CN"/>
              </w:rPr>
            </w:pPr>
            <w:r>
              <w:rPr>
                <w:rFonts w:hint="default" w:ascii="Arial" w:hAnsi="Arial" w:eastAsia="宋体" w:cs="Arial"/>
                <w:i w:val="0"/>
                <w:iCs w:val="0"/>
                <w:color w:val="000000"/>
                <w:sz w:val="20"/>
                <w:szCs w:val="20"/>
                <w:u w:val="none"/>
                <w:lang w:val="en-US" w:eastAsia="zh-CN"/>
              </w:rPr>
              <w:t>7.挪威NordicCORTE-M4内芯+荷兰NXP安全芯片，阿里云LINK ID² 安全加密系统，自主app，系统升级永不过时</w:t>
            </w:r>
            <w:r>
              <w:rPr>
                <w:rFonts w:hint="eastAsia" w:ascii="Arial" w:hAnsi="Arial" w:eastAsia="宋体" w:cs="Arial"/>
                <w:i w:val="0"/>
                <w:iCs w:val="0"/>
                <w:color w:val="000000"/>
                <w:sz w:val="20"/>
                <w:szCs w:val="20"/>
                <w:u w:val="none"/>
                <w:lang w:val="en-US" w:eastAsia="zh-CN"/>
              </w:rPr>
              <w:t>；</w:t>
            </w:r>
            <w:r>
              <w:rPr>
                <w:rFonts w:hint="default" w:ascii="Arial" w:hAnsi="Arial" w:eastAsia="宋体" w:cs="Arial"/>
                <w:i w:val="0"/>
                <w:iCs w:val="0"/>
                <w:color w:val="000000"/>
                <w:sz w:val="20"/>
                <w:szCs w:val="20"/>
                <w:u w:val="none"/>
                <w:lang w:val="en-US" w:eastAsia="zh-CN"/>
              </w:rPr>
              <w:t xml:space="preserve">       </w:t>
            </w:r>
          </w:p>
          <w:p>
            <w:pPr>
              <w:keepNext w:val="0"/>
              <w:keepLines w:val="0"/>
              <w:widowControl/>
              <w:numPr>
                <w:ilvl w:val="0"/>
                <w:numId w:val="0"/>
              </w:numPr>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lang w:val="en-US" w:eastAsia="zh-CN"/>
              </w:rPr>
              <w:t>8.</w:t>
            </w:r>
            <w:r>
              <w:rPr>
                <w:rFonts w:hint="default" w:ascii="Arial" w:hAnsi="Arial" w:eastAsia="宋体" w:cs="Arial"/>
                <w:i w:val="0"/>
                <w:iCs w:val="0"/>
                <w:color w:val="000000"/>
                <w:sz w:val="20"/>
                <w:szCs w:val="20"/>
                <w:u w:val="none"/>
              </w:rPr>
              <w:t>适合于木门、防盗门等多种门场景</w:t>
            </w:r>
            <w:r>
              <w:rPr>
                <w:rFonts w:hint="default" w:ascii="Arial" w:hAnsi="Arial" w:eastAsia="宋体" w:cs="Arial"/>
                <w:i w:val="0"/>
                <w:iCs w:val="0"/>
                <w:color w:val="000000"/>
                <w:sz w:val="20"/>
                <w:szCs w:val="20"/>
                <w:u w:val="none"/>
                <w:lang w:eastAsia="zh-CN"/>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把</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安装调试</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安装并调试，含拆除原门锁。</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项</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bl>
    <w:p>
      <w:pPr>
        <w:widowControl w:val="0"/>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二、商务条款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（一）支付条款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1、合同签订后支付合同价款的</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2、验收合格后15个工作日内支付合同价款的</w:t>
      </w:r>
      <w:r>
        <w:rPr>
          <w:rFonts w:hint="eastAsia" w:ascii="仿宋_GB2312" w:hAnsi="仿宋_GB2312" w:cs="仿宋_GB2312"/>
          <w:color w:val="auto"/>
          <w:sz w:val="32"/>
          <w:szCs w:val="32"/>
          <w:lang w:val="en-US" w:eastAsia="zh-CN"/>
        </w:rPr>
        <w:t>70</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（二）验收条款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验收方式：我局组织人员验收。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验收要求：</w:t>
      </w:r>
      <w:r>
        <w:rPr>
          <w:rFonts w:hint="default" w:ascii="仿宋_GB2312" w:hAnsi="仿宋_GB2312" w:cs="仿宋_GB2312"/>
          <w:sz w:val="32"/>
          <w:szCs w:val="32"/>
          <w:lang w:val="en-US" w:eastAsia="zh-CN"/>
        </w:rPr>
        <w:t>1.</w:t>
      </w:r>
      <w:r>
        <w:rPr>
          <w:rFonts w:hint="eastAsia" w:ascii="仿宋_GB2312" w:hAnsi="仿宋_GB2312" w:cs="仿宋_GB2312"/>
          <w:sz w:val="32"/>
          <w:szCs w:val="32"/>
          <w:lang w:val="en-US" w:eastAsia="zh-CN"/>
        </w:rPr>
        <w:t>产品合格证</w:t>
      </w:r>
      <w:r>
        <w:rPr>
          <w:rFonts w:hint="eastAsia" w:ascii="仿宋_GB2312" w:hAnsi="仿宋_GB2312" w:eastAsia="仿宋_GB2312" w:cs="仿宋_GB2312"/>
          <w:sz w:val="32"/>
          <w:szCs w:val="32"/>
          <w:lang w:val="en-US" w:eastAsia="zh-CN"/>
        </w:rPr>
        <w:t>符合参数要求</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2.</w:t>
      </w:r>
      <w:r>
        <w:rPr>
          <w:rFonts w:hint="eastAsia" w:ascii="仿宋_GB2312" w:hAnsi="仿宋_GB2312" w:cs="仿宋_GB2312"/>
          <w:sz w:val="32"/>
          <w:szCs w:val="32"/>
          <w:lang w:val="en-US" w:eastAsia="zh-CN"/>
        </w:rPr>
        <w:t>锁体与门框垂直无倾斜现象；</w:t>
      </w:r>
      <w:r>
        <w:rPr>
          <w:rFonts w:hint="default" w:ascii="仿宋_GB2312" w:hAnsi="仿宋_GB2312" w:cs="仿宋_GB2312"/>
          <w:sz w:val="32"/>
          <w:szCs w:val="32"/>
          <w:lang w:val="en-US" w:eastAsia="zh-CN"/>
        </w:rPr>
        <w:t>3.</w:t>
      </w:r>
      <w:r>
        <w:rPr>
          <w:rFonts w:hint="eastAsia" w:ascii="仿宋_GB2312" w:hAnsi="仿宋_GB2312" w:cs="仿宋_GB2312"/>
          <w:sz w:val="32"/>
          <w:szCs w:val="32"/>
          <w:lang w:val="en-US" w:eastAsia="zh-CN"/>
        </w:rPr>
        <w:t>把手转动灵活；</w:t>
      </w:r>
      <w:r>
        <w:rPr>
          <w:rFonts w:hint="default" w:ascii="仿宋_GB2312" w:hAnsi="仿宋_GB2312" w:cs="仿宋_GB2312"/>
          <w:sz w:val="32"/>
          <w:szCs w:val="32"/>
          <w:lang w:val="en-US" w:eastAsia="zh-CN"/>
        </w:rPr>
        <w:t>4.</w:t>
      </w:r>
      <w:r>
        <w:rPr>
          <w:rFonts w:hint="eastAsia" w:ascii="仿宋_GB2312" w:hAnsi="仿宋_GB2312" w:cs="仿宋_GB2312"/>
          <w:sz w:val="32"/>
          <w:szCs w:val="32"/>
          <w:lang w:val="en-US" w:eastAsia="zh-CN"/>
        </w:rPr>
        <w:t>锁舌弹出正常无卡塞现象；</w:t>
      </w:r>
      <w:r>
        <w:rPr>
          <w:rFonts w:hint="default" w:ascii="仿宋_GB2312" w:hAnsi="仿宋_GB2312" w:cs="仿宋_GB2312"/>
          <w:sz w:val="32"/>
          <w:szCs w:val="32"/>
          <w:lang w:val="en-US" w:eastAsia="zh-CN"/>
        </w:rPr>
        <w:t>5.</w:t>
      </w:r>
      <w:r>
        <w:rPr>
          <w:rFonts w:hint="eastAsia" w:ascii="仿宋_GB2312" w:hAnsi="仿宋_GB2312" w:cs="仿宋_GB2312"/>
          <w:sz w:val="32"/>
          <w:szCs w:val="32"/>
          <w:lang w:val="en-US" w:eastAsia="zh-CN"/>
        </w:rPr>
        <w:t>复位正常</w:t>
      </w:r>
      <w:r>
        <w:rPr>
          <w:rFonts w:hint="default" w:ascii="仿宋_GB2312" w:hAnsi="仿宋_GB2312" w:cs="仿宋_GB2312"/>
          <w:sz w:val="32"/>
          <w:szCs w:val="32"/>
          <w:lang w:val="en-US" w:eastAsia="zh-CN"/>
        </w:rPr>
        <w:t>6.</w:t>
      </w:r>
      <w:r>
        <w:rPr>
          <w:rFonts w:hint="eastAsia" w:ascii="仿宋_GB2312" w:hAnsi="仿宋_GB2312" w:cs="仿宋_GB2312"/>
          <w:sz w:val="32"/>
          <w:szCs w:val="32"/>
          <w:lang w:val="en-US" w:eastAsia="zh-CN"/>
        </w:rPr>
        <w:t>门关上后无松动现象；</w:t>
      </w:r>
      <w:r>
        <w:rPr>
          <w:rFonts w:hint="default" w:ascii="仿宋_GB2312" w:hAnsi="仿宋_GB2312" w:cs="仿宋_GB2312"/>
          <w:sz w:val="32"/>
          <w:szCs w:val="32"/>
          <w:lang w:val="en-US" w:eastAsia="zh-CN"/>
        </w:rPr>
        <w:t>7.</w:t>
      </w:r>
      <w:r>
        <w:rPr>
          <w:rFonts w:hint="eastAsia" w:ascii="仿宋_GB2312" w:hAnsi="仿宋_GB2312" w:cs="仿宋_GB2312"/>
          <w:sz w:val="32"/>
          <w:szCs w:val="32"/>
          <w:lang w:val="en-US" w:eastAsia="zh-CN"/>
        </w:rPr>
        <w:t>各功能正常。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（三）交付时间：</w:t>
      </w:r>
      <w:r>
        <w:rPr>
          <w:rFonts w:hint="eastAsia" w:ascii="仿宋_GB2312" w:hAnsi="仿宋_GB2312" w:eastAsia="仿宋_GB2312" w:cs="仿宋_GB2312"/>
          <w:sz w:val="32"/>
          <w:szCs w:val="32"/>
          <w:lang w:val="en-US" w:eastAsia="zh-CN"/>
        </w:rPr>
        <w:t>合同签订后接采购人通知之日起</w:t>
      </w:r>
      <w:r>
        <w:rPr>
          <w:rFonts w:hint="default"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zh-CN"/>
        </w:rPr>
        <w:t>天内完成交付(含交货</w:t>
      </w:r>
      <w:r>
        <w:rPr>
          <w:rFonts w:hint="eastAsia" w:ascii="仿宋_GB2312" w:hAnsi="仿宋_GB2312" w:cs="仿宋_GB2312"/>
          <w:sz w:val="32"/>
          <w:szCs w:val="32"/>
          <w:lang w:val="en-US" w:eastAsia="zh-CN"/>
        </w:rPr>
        <w:t>及</w:t>
      </w:r>
      <w:r>
        <w:rPr>
          <w:rFonts w:hint="eastAsia" w:ascii="仿宋_GB2312" w:hAnsi="仿宋_GB2312" w:eastAsia="仿宋_GB2312" w:cs="仿宋_GB2312"/>
          <w:sz w:val="32"/>
          <w:szCs w:val="32"/>
          <w:lang w:val="en-US" w:eastAsia="zh-CN"/>
        </w:rPr>
        <w:t>安装)</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（四）交付地点：</w:t>
      </w:r>
      <w:r>
        <w:rPr>
          <w:rFonts w:hint="eastAsia" w:ascii="仿宋_GB2312" w:hAnsi="仿宋_GB2312" w:eastAsia="仿宋_GB2312" w:cs="仿宋_GB2312"/>
          <w:sz w:val="32"/>
          <w:szCs w:val="32"/>
          <w:lang w:val="en-US" w:eastAsia="zh-CN"/>
        </w:rPr>
        <w:t>福建省福州市鼓楼区物价大厦</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（五）交付条件：</w:t>
      </w:r>
      <w:r>
        <w:rPr>
          <w:rFonts w:hint="eastAsia" w:ascii="仿宋_GB2312" w:hAnsi="仿宋_GB2312" w:eastAsia="仿宋_GB2312" w:cs="仿宋_GB2312"/>
          <w:sz w:val="32"/>
          <w:szCs w:val="32"/>
          <w:lang w:val="en-US" w:eastAsia="zh-CN"/>
        </w:rPr>
        <w:t>经安装调试后可正常使用</w:t>
      </w:r>
      <w:r>
        <w:rPr>
          <w:rFonts w:hint="eastAsia" w:ascii="仿宋_GB2312" w:hAnsi="仿宋_GB2312" w:cs="仿宋_GB2312"/>
          <w:sz w:val="32"/>
          <w:szCs w:val="32"/>
          <w:lang w:val="en-US" w:eastAsia="zh-CN"/>
        </w:rPr>
        <w:t>。</w:t>
      </w:r>
    </w:p>
    <w:p>
      <w:pPr>
        <w:numPr>
          <w:ilvl w:val="0"/>
          <w:numId w:val="0"/>
        </w:numPr>
        <w:spacing w:line="590" w:lineRule="exact"/>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1.乙方必须严格按时完成交付。如果乙方未能按合同规定的时间按时完成交付，则每逾期一天应按本合同总金额的1%支付违约金，未及时交付甲方有权终止合同。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在履行合同过程中,如乙方遇到不能按合同或合同约定的期限完成交付，乙方应及时书面通知甲方有关情况。甲方收到乙方的书面通知后，对有关情况审核后有权选择是否修改合同或酌情延长交货期或终止合同，但并不因此免除乙方根据上一条款应承担的延期违约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3.乙方在履行合同过程中，给甲方造成损失的，应承担全部赔偿责任。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4.甲方无正当理由逾期支付款项造成乙方的损失，乙方拥有依法索赔的权利。</w:t>
      </w:r>
    </w:p>
    <w:p>
      <w:pPr>
        <w:numPr>
          <w:ilvl w:val="0"/>
          <w:numId w:val="0"/>
        </w:numPr>
        <w:spacing w:line="590" w:lineRule="exact"/>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（七）服务要求</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cs="仿宋_GB2312"/>
          <w:color w:val="000000"/>
          <w:kern w:val="0"/>
          <w:sz w:val="32"/>
          <w:szCs w:val="32"/>
          <w:lang w:val="en-US" w:eastAsia="zh-CN"/>
        </w:rPr>
        <w:t xml:space="preserve"> </w:t>
      </w:r>
      <w:r>
        <w:rPr>
          <w:rFonts w:hint="default" w:ascii="仿宋_GB2312" w:hAnsi="仿宋_GB2312" w:eastAsia="仿宋_GB2312" w:cs="仿宋_GB2312"/>
          <w:color w:val="000000"/>
          <w:kern w:val="0"/>
          <w:sz w:val="32"/>
          <w:szCs w:val="32"/>
          <w:lang w:val="en-US" w:eastAsia="zh-CN"/>
        </w:rPr>
        <w:t xml:space="preserve"> </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保修期3年，保修期内提供全免费保修，一年之内任何问题换新，提供7*24小时的故障服务。</w:t>
      </w:r>
    </w:p>
    <w:p>
      <w:pPr>
        <w:numPr>
          <w:ilvl w:val="0"/>
          <w:numId w:val="0"/>
        </w:numPr>
        <w:spacing w:line="590" w:lineRule="exact"/>
        <w:ind w:firstLine="64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在保修期内设备若发生非人为故障，免费上门检修维护，免费更换零部件。重大问题或其他较难解决的问题应在</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个工作日内给予方案并解决。</w:t>
      </w:r>
    </w:p>
    <w:p>
      <w:pPr>
        <w:numPr>
          <w:ilvl w:val="0"/>
          <w:numId w:val="0"/>
        </w:numPr>
        <w:spacing w:line="590" w:lineRule="exact"/>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供应商需提供安装、售后等相关的现场免费技术培训。</w:t>
      </w:r>
    </w:p>
    <w:p>
      <w:r>
        <w:rPr>
          <w:rFonts w:hint="eastAsia" w:ascii="仿宋_GB2312" w:hAnsi="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质保期结束后，仍负责对设备提供终身维修服务，但只能收取配件费（包含试剂、耗</w:t>
      </w:r>
      <w:bookmarkStart w:id="0" w:name="_GoBack"/>
      <w:bookmarkEnd w:id="0"/>
      <w:r>
        <w:rPr>
          <w:rFonts w:hint="eastAsia" w:ascii="仿宋_GB2312" w:hAnsi="仿宋_GB2312" w:eastAsia="仿宋_GB2312" w:cs="仿宋_GB2312"/>
          <w:sz w:val="32"/>
          <w:szCs w:val="32"/>
          <w:lang w:val="en-US" w:eastAsia="zh-CN"/>
        </w:rPr>
        <w:t>材、耗品）成本费。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B0C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RSNET</dc:creator>
  <cp:lastModifiedBy>RSNET</cp:lastModifiedBy>
  <dcterms:modified xsi:type="dcterms:W3CDTF">2022-12-19T00:57:55Z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