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00" w:lineRule="exact"/>
        <w:ind w:right="960" w:right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spacing w:line="500" w:lineRule="exact"/>
        <w:ind w:right="960" w:right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福建省地方金融监督管理局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会议室桌椅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项目报价表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ind w:right="640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报价供应商（盖章）：</w:t>
      </w:r>
      <w:bookmarkStart w:id="0" w:name="_GoBack"/>
      <w:bookmarkEnd w:id="0"/>
    </w:p>
    <w:tbl>
      <w:tblPr>
        <w:tblStyle w:val="3"/>
        <w:tblW w:w="11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796"/>
        <w:gridCol w:w="2136"/>
        <w:gridCol w:w="810"/>
        <w:gridCol w:w="810"/>
        <w:gridCol w:w="1534"/>
        <w:gridCol w:w="975"/>
        <w:gridCol w:w="10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序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货物(服务)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技术参数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18" w:leftChars="-38" w:right="-198" w:rightChars="-64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58" w:rightChars="-51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  <w:lang w:val="en-US" w:eastAsia="zh-CN"/>
              </w:rPr>
              <w:t>价格上限标准（元/张）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2" w:leftChars="-15" w:hanging="24" w:hangingChars="1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单价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（元）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小计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最高限价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会议桌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满足公告要求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11500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会议边桌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满足公告要求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会议椅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满足公告要求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450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仿宋_GB2312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仿宋_GB2312"/>
                <w:sz w:val="28"/>
                <w:szCs w:val="28"/>
                <w:lang w:val="en-US"/>
              </w:rP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旁听椅（无扶手）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满足公告要求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310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 w:ascii="宋体" w:hAnsi="宋体" w:eastAsia="宋体" w:cs="仿宋_GB2312"/>
          <w:kern w:val="0"/>
          <w:sz w:val="24"/>
          <w:szCs w:val="24"/>
        </w:rPr>
      </w:pP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仿宋_GB2312"/>
          <w:kern w:val="0"/>
          <w:sz w:val="24"/>
        </w:rPr>
        <w:t xml:space="preserve">                                     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年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月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日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总价应包含：上述货物以及相关税费等一切费用。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报价总价超过最高限价的，视为无效报价。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合计总价：                          元（大写）</w:t>
      </w:r>
    </w:p>
    <w:p>
      <w:pPr>
        <w:spacing w:line="590" w:lineRule="exact"/>
        <w:ind w:firstLine="4245" w:firstLineChars="1769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元（小写）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4A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2022-12-19T00:54:48Z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